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DFB9C" w14:textId="14234B97" w:rsidR="00B327BD" w:rsidRPr="00345354" w:rsidRDefault="00B327BD" w:rsidP="00B327BD">
      <w:pPr>
        <w:spacing w:after="0" w:line="240" w:lineRule="auto"/>
        <w:ind w:left="6372"/>
        <w:jc w:val="center"/>
        <w:rPr>
          <w:rFonts w:ascii="Arial" w:hAnsi="Arial" w:cs="Arial"/>
          <w:b/>
          <w:lang w:val="en-US"/>
        </w:rPr>
      </w:pPr>
      <w:r w:rsidRPr="00345354">
        <w:rPr>
          <w:noProof/>
          <w:lang w:val="es-PA" w:eastAsia="es-PA"/>
        </w:rPr>
        <w:drawing>
          <wp:inline distT="0" distB="0" distL="0" distR="0" wp14:anchorId="678C5AF4" wp14:editId="37A37098">
            <wp:extent cx="1402522" cy="1026544"/>
            <wp:effectExtent l="0" t="0" r="762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960" cy="1035647"/>
                    </a:xfrm>
                    <a:prstGeom prst="rect">
                      <a:avLst/>
                    </a:prstGeom>
                    <a:noFill/>
                  </pic:spPr>
                </pic:pic>
              </a:graphicData>
            </a:graphic>
          </wp:inline>
        </w:drawing>
      </w:r>
    </w:p>
    <w:p w14:paraId="175BC302" w14:textId="7FD2B622" w:rsidR="00B26FFA" w:rsidRPr="00345354" w:rsidRDefault="00914F59" w:rsidP="004D4950">
      <w:pPr>
        <w:spacing w:after="0" w:line="240" w:lineRule="auto"/>
        <w:jc w:val="center"/>
        <w:rPr>
          <w:rFonts w:ascii="Arial" w:hAnsi="Arial" w:cs="Arial"/>
          <w:b/>
          <w:lang w:val="en-US"/>
        </w:rPr>
      </w:pPr>
      <w:r>
        <w:rPr>
          <w:rFonts w:ascii="Arial" w:hAnsi="Arial" w:cs="Arial"/>
          <w:b/>
          <w:lang w:val="en-US"/>
        </w:rPr>
        <w:t>Guid</w:t>
      </w:r>
      <w:r w:rsidR="00D966E6" w:rsidRPr="00345354">
        <w:rPr>
          <w:rFonts w:ascii="Arial" w:hAnsi="Arial" w:cs="Arial"/>
          <w:b/>
          <w:lang w:val="en-US"/>
        </w:rPr>
        <w:t>e to prepare the Report on Future Capital Needs</w:t>
      </w:r>
    </w:p>
    <w:p w14:paraId="3654E032" w14:textId="77777777" w:rsidR="008D6CE1" w:rsidRPr="00345354" w:rsidRDefault="008D6CE1" w:rsidP="004D4950">
      <w:pPr>
        <w:spacing w:after="0" w:line="240" w:lineRule="auto"/>
        <w:jc w:val="center"/>
        <w:rPr>
          <w:rFonts w:ascii="Arial" w:hAnsi="Arial" w:cs="Arial"/>
          <w:lang w:val="en-US"/>
        </w:rPr>
      </w:pPr>
    </w:p>
    <w:p w14:paraId="7129A80A" w14:textId="7E993A2D" w:rsidR="008D6CE1" w:rsidRPr="00345354" w:rsidRDefault="00D966E6" w:rsidP="004D4950">
      <w:pPr>
        <w:pStyle w:val="Prrafodelista"/>
        <w:numPr>
          <w:ilvl w:val="0"/>
          <w:numId w:val="1"/>
        </w:numPr>
        <w:spacing w:after="0" w:line="240" w:lineRule="auto"/>
        <w:jc w:val="both"/>
        <w:rPr>
          <w:rFonts w:ascii="Arial" w:hAnsi="Arial" w:cs="Arial"/>
          <w:b/>
          <w:lang w:val="en-US"/>
        </w:rPr>
      </w:pPr>
      <w:r w:rsidRPr="00345354">
        <w:rPr>
          <w:rFonts w:ascii="Arial" w:hAnsi="Arial" w:cs="Arial"/>
          <w:b/>
          <w:lang w:val="en-US"/>
        </w:rPr>
        <w:t>Introduction</w:t>
      </w:r>
    </w:p>
    <w:p w14:paraId="4A74B00D" w14:textId="77777777" w:rsidR="00E76760" w:rsidRDefault="00E76760" w:rsidP="004D4950">
      <w:pPr>
        <w:spacing w:after="0" w:line="240" w:lineRule="auto"/>
        <w:ind w:left="708"/>
        <w:jc w:val="both"/>
        <w:rPr>
          <w:rFonts w:ascii="Arial" w:hAnsi="Arial" w:cs="Arial"/>
          <w:lang w:val="en-US"/>
        </w:rPr>
      </w:pPr>
    </w:p>
    <w:p w14:paraId="5759B9D8" w14:textId="04169C20" w:rsidR="00D966E6" w:rsidRPr="00345354" w:rsidRDefault="00D966E6" w:rsidP="004D4950">
      <w:pPr>
        <w:spacing w:after="0" w:line="240" w:lineRule="auto"/>
        <w:ind w:left="708"/>
        <w:jc w:val="both"/>
        <w:rPr>
          <w:rFonts w:ascii="Arial" w:hAnsi="Arial" w:cs="Arial"/>
          <w:lang w:val="en-US"/>
        </w:rPr>
      </w:pPr>
      <w:r w:rsidRPr="00345354">
        <w:rPr>
          <w:rFonts w:ascii="Arial" w:hAnsi="Arial" w:cs="Arial"/>
          <w:lang w:val="en-US"/>
        </w:rPr>
        <w:t xml:space="preserve">Article 67 of the Banking Law provides </w:t>
      </w:r>
      <w:r w:rsidR="001464A7" w:rsidRPr="00345354">
        <w:rPr>
          <w:rFonts w:ascii="Arial" w:hAnsi="Arial" w:cs="Arial"/>
          <w:lang w:val="en-US"/>
        </w:rPr>
        <w:t xml:space="preserve">that “All banks must comply with the capital funds required by this Decree Law and its regulations” and Article 16 of Rule 1-2015 </w:t>
      </w:r>
      <w:r w:rsidR="00914F59">
        <w:rPr>
          <w:rFonts w:ascii="Arial" w:hAnsi="Arial" w:cs="Arial"/>
          <w:lang w:val="en-US"/>
        </w:rPr>
        <w:t>sets forth the</w:t>
      </w:r>
      <w:r w:rsidR="001464A7" w:rsidRPr="00345354">
        <w:rPr>
          <w:rFonts w:ascii="Arial" w:hAnsi="Arial" w:cs="Arial"/>
          <w:lang w:val="en-US"/>
        </w:rPr>
        <w:t xml:space="preserve"> capital adequacy rules applicable to banks and banking groups </w:t>
      </w:r>
      <w:r w:rsidR="00914F59">
        <w:rPr>
          <w:rFonts w:ascii="Arial" w:hAnsi="Arial" w:cs="Arial"/>
          <w:lang w:val="en-US"/>
        </w:rPr>
        <w:t>providing</w:t>
      </w:r>
      <w:r w:rsidR="001464A7" w:rsidRPr="00345354">
        <w:rPr>
          <w:rFonts w:ascii="Arial" w:hAnsi="Arial" w:cs="Arial"/>
          <w:lang w:val="en-US"/>
        </w:rPr>
        <w:t xml:space="preserve"> that supervised entities must submit a report on the future capital needed to execute the entity’s business model to the Superintendency of Banks. </w:t>
      </w:r>
    </w:p>
    <w:p w14:paraId="0DC32D02" w14:textId="77777777" w:rsidR="001464A7" w:rsidRPr="00345354" w:rsidRDefault="001464A7" w:rsidP="004D4950">
      <w:pPr>
        <w:spacing w:after="0" w:line="240" w:lineRule="auto"/>
        <w:ind w:left="708"/>
        <w:jc w:val="both"/>
        <w:rPr>
          <w:rFonts w:ascii="Arial" w:hAnsi="Arial" w:cs="Arial"/>
          <w:lang w:val="en-US"/>
        </w:rPr>
      </w:pPr>
    </w:p>
    <w:p w14:paraId="13A26AAA" w14:textId="3FD6CB46" w:rsidR="001464A7" w:rsidRPr="00345354" w:rsidRDefault="001464A7" w:rsidP="004D4950">
      <w:pPr>
        <w:spacing w:after="0" w:line="240" w:lineRule="auto"/>
        <w:ind w:left="708"/>
        <w:jc w:val="both"/>
        <w:rPr>
          <w:rFonts w:ascii="Arial" w:hAnsi="Arial" w:cs="Arial"/>
          <w:lang w:val="en-US"/>
        </w:rPr>
      </w:pPr>
      <w:r w:rsidRPr="00345354">
        <w:rPr>
          <w:rFonts w:ascii="Arial" w:hAnsi="Arial" w:cs="Arial"/>
          <w:lang w:val="en-US"/>
        </w:rPr>
        <w:t xml:space="preserve">This report is </w:t>
      </w:r>
      <w:r w:rsidR="00914F59">
        <w:rPr>
          <w:rFonts w:ascii="Arial" w:hAnsi="Arial" w:cs="Arial"/>
          <w:lang w:val="en-US"/>
        </w:rPr>
        <w:t>approached</w:t>
      </w:r>
      <w:r w:rsidRPr="00345354">
        <w:rPr>
          <w:rFonts w:ascii="Arial" w:hAnsi="Arial" w:cs="Arial"/>
          <w:lang w:val="en-US"/>
        </w:rPr>
        <w:t xml:space="preserve"> from a strategic point of view with a temporary </w:t>
      </w:r>
      <w:r w:rsidR="00914F59">
        <w:rPr>
          <w:rFonts w:ascii="Arial" w:hAnsi="Arial" w:cs="Arial"/>
          <w:lang w:val="en-US"/>
        </w:rPr>
        <w:t>timeframe</w:t>
      </w:r>
      <w:r w:rsidRPr="00345354">
        <w:rPr>
          <w:rFonts w:ascii="Arial" w:hAnsi="Arial" w:cs="Arial"/>
          <w:lang w:val="en-US"/>
        </w:rPr>
        <w:t xml:space="preserve"> of at least three years for the assessment of </w:t>
      </w:r>
      <w:r w:rsidR="0059559E">
        <w:rPr>
          <w:rFonts w:ascii="Arial" w:hAnsi="Arial" w:cs="Arial"/>
          <w:lang w:val="en-US"/>
        </w:rPr>
        <w:t>anticipated</w:t>
      </w:r>
      <w:r w:rsidRPr="00345354">
        <w:rPr>
          <w:rFonts w:ascii="Arial" w:hAnsi="Arial" w:cs="Arial"/>
          <w:lang w:val="en-US"/>
        </w:rPr>
        <w:t xml:space="preserve"> risks and the sources of </w:t>
      </w:r>
      <w:r w:rsidR="0059559E">
        <w:rPr>
          <w:rFonts w:ascii="Arial" w:hAnsi="Arial" w:cs="Arial"/>
          <w:lang w:val="en-US"/>
        </w:rPr>
        <w:t>obtaining additional capital</w:t>
      </w:r>
      <w:r w:rsidRPr="00345354">
        <w:rPr>
          <w:rFonts w:ascii="Arial" w:hAnsi="Arial" w:cs="Arial"/>
          <w:lang w:val="en-US"/>
        </w:rPr>
        <w:t xml:space="preserve"> to achieve the proposed strategic objectives. </w:t>
      </w:r>
    </w:p>
    <w:p w14:paraId="608ECEAD" w14:textId="77777777" w:rsidR="008F4FAD" w:rsidRPr="00345354" w:rsidRDefault="008F4FAD" w:rsidP="004D4950">
      <w:pPr>
        <w:spacing w:after="0" w:line="240" w:lineRule="auto"/>
        <w:ind w:left="708"/>
        <w:jc w:val="both"/>
        <w:rPr>
          <w:rFonts w:ascii="Arial" w:hAnsi="Arial" w:cs="Arial"/>
          <w:lang w:val="en-US"/>
        </w:rPr>
      </w:pPr>
    </w:p>
    <w:p w14:paraId="619BBFE7" w14:textId="2E4114FF" w:rsidR="008F4FAD" w:rsidRPr="00345354" w:rsidRDefault="008F4FAD" w:rsidP="004D4950">
      <w:pPr>
        <w:spacing w:after="0" w:line="240" w:lineRule="auto"/>
        <w:ind w:left="708"/>
        <w:jc w:val="both"/>
        <w:rPr>
          <w:rFonts w:ascii="Arial" w:hAnsi="Arial" w:cs="Arial"/>
          <w:lang w:val="en-US"/>
        </w:rPr>
      </w:pPr>
      <w:r w:rsidRPr="00345354">
        <w:rPr>
          <w:rFonts w:ascii="Arial" w:hAnsi="Arial" w:cs="Arial"/>
          <w:lang w:val="en-US"/>
        </w:rPr>
        <w:t>The provisions of Article 16 of Rule 1-2015 follows the recommendations contained in the Capital Accords issued by the Basel Committee</w:t>
      </w:r>
      <w:r w:rsidR="0059559E">
        <w:rPr>
          <w:rFonts w:ascii="Arial" w:hAnsi="Arial" w:cs="Arial"/>
          <w:lang w:val="en-US"/>
        </w:rPr>
        <w:t>,</w:t>
      </w:r>
      <w:r w:rsidRPr="00345354">
        <w:rPr>
          <w:rFonts w:ascii="Arial" w:hAnsi="Arial" w:cs="Arial"/>
          <w:lang w:val="en-US"/>
        </w:rPr>
        <w:t xml:space="preserve"> particularly the provisions o</w:t>
      </w:r>
      <w:r w:rsidR="009E1C5F" w:rsidRPr="00345354">
        <w:rPr>
          <w:rFonts w:ascii="Arial" w:hAnsi="Arial" w:cs="Arial"/>
          <w:lang w:val="en-US"/>
        </w:rPr>
        <w:t>f</w:t>
      </w:r>
      <w:r w:rsidRPr="00345354">
        <w:rPr>
          <w:rFonts w:ascii="Arial" w:hAnsi="Arial" w:cs="Arial"/>
          <w:lang w:val="en-US"/>
        </w:rPr>
        <w:t xml:space="preserve"> Pillar II of Basel II. </w:t>
      </w:r>
    </w:p>
    <w:p w14:paraId="013BBE0F" w14:textId="77777777" w:rsidR="008F4FAD" w:rsidRPr="00345354" w:rsidRDefault="008F4FAD" w:rsidP="004D4950">
      <w:pPr>
        <w:spacing w:after="0" w:line="240" w:lineRule="auto"/>
        <w:ind w:left="708"/>
        <w:jc w:val="both"/>
        <w:rPr>
          <w:rFonts w:ascii="Arial" w:hAnsi="Arial" w:cs="Arial"/>
          <w:lang w:val="en-US"/>
        </w:rPr>
      </w:pPr>
    </w:p>
    <w:p w14:paraId="6BF707E9" w14:textId="23796B73" w:rsidR="008F4FAD" w:rsidRPr="00345354" w:rsidRDefault="008F4FAD" w:rsidP="004D4950">
      <w:pPr>
        <w:spacing w:after="0" w:line="240" w:lineRule="auto"/>
        <w:ind w:left="708"/>
        <w:jc w:val="both"/>
        <w:rPr>
          <w:rFonts w:ascii="Arial" w:hAnsi="Arial" w:cs="Arial"/>
          <w:lang w:val="en-US"/>
        </w:rPr>
      </w:pPr>
      <w:r w:rsidRPr="00345354">
        <w:rPr>
          <w:rFonts w:ascii="Arial" w:hAnsi="Arial" w:cs="Arial"/>
          <w:lang w:val="en-US"/>
        </w:rPr>
        <w:t>In this regard, the first principle of Pillar II provides that banks must have a process to assess their capital adequacy in r</w:t>
      </w:r>
      <w:r w:rsidR="0059559E">
        <w:rPr>
          <w:rFonts w:ascii="Arial" w:hAnsi="Arial" w:cs="Arial"/>
          <w:lang w:val="en-US"/>
        </w:rPr>
        <w:t>elation</w:t>
      </w:r>
      <w:r w:rsidRPr="00345354">
        <w:rPr>
          <w:rFonts w:ascii="Arial" w:hAnsi="Arial" w:cs="Arial"/>
          <w:lang w:val="en-US"/>
        </w:rPr>
        <w:t xml:space="preserve"> to their risk profile and a strategy to maintain their capital level. The second principle establishes that the banking supervisor </w:t>
      </w:r>
      <w:r w:rsidR="00D9737F" w:rsidRPr="00345354">
        <w:rPr>
          <w:rFonts w:ascii="Arial" w:hAnsi="Arial" w:cs="Arial"/>
          <w:lang w:val="en-US"/>
        </w:rPr>
        <w:t xml:space="preserve">reviews the </w:t>
      </w:r>
      <w:r w:rsidR="0059559E">
        <w:rPr>
          <w:rFonts w:ascii="Arial" w:hAnsi="Arial" w:cs="Arial"/>
          <w:lang w:val="en-US"/>
        </w:rPr>
        <w:t xml:space="preserve">bank’s </w:t>
      </w:r>
      <w:r w:rsidR="00D9737F" w:rsidRPr="00345354">
        <w:rPr>
          <w:rFonts w:ascii="Arial" w:hAnsi="Arial" w:cs="Arial"/>
          <w:lang w:val="en-US"/>
        </w:rPr>
        <w:t xml:space="preserve">capital adequacy process, as well as </w:t>
      </w:r>
      <w:r w:rsidR="0059559E">
        <w:rPr>
          <w:rFonts w:ascii="Arial" w:hAnsi="Arial" w:cs="Arial"/>
          <w:lang w:val="en-US"/>
        </w:rPr>
        <w:t>its</w:t>
      </w:r>
      <w:r w:rsidR="00D9737F" w:rsidRPr="00345354">
        <w:rPr>
          <w:rFonts w:ascii="Arial" w:hAnsi="Arial" w:cs="Arial"/>
          <w:lang w:val="en-US"/>
        </w:rPr>
        <w:t xml:space="preserve"> ability to monitor and ensure compliance with regulatory capital ratios. </w:t>
      </w:r>
    </w:p>
    <w:p w14:paraId="2FDC17F1" w14:textId="77777777" w:rsidR="00D9737F" w:rsidRPr="00345354" w:rsidRDefault="00D9737F" w:rsidP="004D4950">
      <w:pPr>
        <w:spacing w:after="0" w:line="240" w:lineRule="auto"/>
        <w:ind w:left="708"/>
        <w:jc w:val="both"/>
        <w:rPr>
          <w:rFonts w:ascii="Arial" w:hAnsi="Arial" w:cs="Arial"/>
          <w:lang w:val="en-US"/>
        </w:rPr>
      </w:pPr>
    </w:p>
    <w:p w14:paraId="298F3997" w14:textId="6CAA6534" w:rsidR="00D9737F" w:rsidRPr="00345354" w:rsidRDefault="00D9737F" w:rsidP="004D4950">
      <w:pPr>
        <w:spacing w:after="0" w:line="240" w:lineRule="auto"/>
        <w:ind w:left="708"/>
        <w:jc w:val="both"/>
        <w:rPr>
          <w:rFonts w:ascii="Arial" w:hAnsi="Arial" w:cs="Arial"/>
          <w:lang w:val="en-US"/>
        </w:rPr>
      </w:pPr>
      <w:r w:rsidRPr="00345354">
        <w:rPr>
          <w:rFonts w:ascii="Arial" w:hAnsi="Arial" w:cs="Arial"/>
          <w:lang w:val="en-US"/>
        </w:rPr>
        <w:t>The capital planning process consists on identifying, measuring and adding the risks the bank faces, determining the quality of its comprehensive risk management and its corporate governance, and later take into consideration the estimated business and economic environment outlook, determin</w:t>
      </w:r>
      <w:r w:rsidR="001C16A1" w:rsidRPr="00345354">
        <w:rPr>
          <w:rFonts w:ascii="Arial" w:hAnsi="Arial" w:cs="Arial"/>
          <w:lang w:val="en-US"/>
        </w:rPr>
        <w:t xml:space="preserve">e the capital necessary to cover these risks. The capital planning exercise covers the definition of an objective regulatory capital ratio that comfortably allows to overcome an adverse scenario of economic recession or unfavorable business performance. </w:t>
      </w:r>
    </w:p>
    <w:p w14:paraId="5FF96C22" w14:textId="77777777" w:rsidR="001C16A1" w:rsidRPr="00345354" w:rsidRDefault="001C16A1" w:rsidP="004D4950">
      <w:pPr>
        <w:spacing w:after="0" w:line="240" w:lineRule="auto"/>
        <w:ind w:left="708"/>
        <w:jc w:val="both"/>
        <w:rPr>
          <w:rFonts w:ascii="Arial" w:hAnsi="Arial" w:cs="Arial"/>
          <w:lang w:val="en-US"/>
        </w:rPr>
      </w:pPr>
    </w:p>
    <w:p w14:paraId="7EB63215" w14:textId="64A55D5E" w:rsidR="001C16A1" w:rsidRPr="00345354" w:rsidRDefault="001C16A1" w:rsidP="004D4950">
      <w:pPr>
        <w:spacing w:after="0" w:line="240" w:lineRule="auto"/>
        <w:ind w:left="708"/>
        <w:jc w:val="both"/>
        <w:rPr>
          <w:rFonts w:ascii="Arial" w:hAnsi="Arial" w:cs="Arial"/>
          <w:lang w:val="en-US"/>
        </w:rPr>
      </w:pPr>
      <w:r w:rsidRPr="00345354">
        <w:rPr>
          <w:rFonts w:ascii="Arial" w:hAnsi="Arial" w:cs="Arial"/>
          <w:lang w:val="en-US"/>
        </w:rPr>
        <w:t xml:space="preserve">The </w:t>
      </w:r>
      <w:r w:rsidR="0059559E">
        <w:rPr>
          <w:rFonts w:ascii="Arial" w:hAnsi="Arial" w:cs="Arial"/>
          <w:lang w:val="en-US"/>
        </w:rPr>
        <w:t xml:space="preserve">target </w:t>
      </w:r>
      <w:r w:rsidRPr="00345354">
        <w:rPr>
          <w:rFonts w:ascii="Arial" w:hAnsi="Arial" w:cs="Arial"/>
          <w:lang w:val="en-US"/>
        </w:rPr>
        <w:t xml:space="preserve">capital ratio </w:t>
      </w:r>
      <w:r w:rsidR="0059559E">
        <w:rPr>
          <w:rFonts w:ascii="Arial" w:hAnsi="Arial" w:cs="Arial"/>
          <w:lang w:val="en-US"/>
        </w:rPr>
        <w:t xml:space="preserve">should </w:t>
      </w:r>
      <w:r w:rsidRPr="00345354">
        <w:rPr>
          <w:rFonts w:ascii="Arial" w:hAnsi="Arial" w:cs="Arial"/>
          <w:lang w:val="en-US"/>
        </w:rPr>
        <w:t xml:space="preserve">be estimated both in a basic or standard scenario and a stress-testing scenario. In both cases, [the bank] must indicate the transmission channels between </w:t>
      </w:r>
      <w:r w:rsidR="00E56389">
        <w:rPr>
          <w:rFonts w:ascii="Arial" w:hAnsi="Arial" w:cs="Arial"/>
          <w:lang w:val="en-US"/>
        </w:rPr>
        <w:t xml:space="preserve">the </w:t>
      </w:r>
      <w:r w:rsidRPr="00345354">
        <w:rPr>
          <w:rFonts w:ascii="Arial" w:hAnsi="Arial" w:cs="Arial"/>
          <w:lang w:val="en-US"/>
        </w:rPr>
        <w:t xml:space="preserve">macro variables and the financial and capital results, as well as the tools, methodologies and </w:t>
      </w:r>
      <w:r w:rsidR="00E56389">
        <w:rPr>
          <w:rFonts w:ascii="Arial" w:hAnsi="Arial" w:cs="Arial"/>
          <w:lang w:val="en-US"/>
        </w:rPr>
        <w:t xml:space="preserve">assumptions </w:t>
      </w:r>
      <w:r w:rsidRPr="00345354">
        <w:rPr>
          <w:rFonts w:ascii="Arial" w:hAnsi="Arial" w:cs="Arial"/>
          <w:lang w:val="en-US"/>
        </w:rPr>
        <w:t xml:space="preserve">used. </w:t>
      </w:r>
    </w:p>
    <w:p w14:paraId="473BC807" w14:textId="77777777" w:rsidR="001C16A1" w:rsidRPr="00345354" w:rsidRDefault="001C16A1" w:rsidP="004D4950">
      <w:pPr>
        <w:spacing w:after="0" w:line="240" w:lineRule="auto"/>
        <w:ind w:left="708"/>
        <w:jc w:val="both"/>
        <w:rPr>
          <w:rFonts w:ascii="Arial" w:hAnsi="Arial" w:cs="Arial"/>
          <w:lang w:val="en-US"/>
        </w:rPr>
      </w:pPr>
    </w:p>
    <w:p w14:paraId="2148C6D1" w14:textId="3D66F77A" w:rsidR="004D4950" w:rsidRPr="00345354" w:rsidRDefault="001C16A1" w:rsidP="004D4950">
      <w:pPr>
        <w:spacing w:after="0" w:line="240" w:lineRule="auto"/>
        <w:ind w:left="708"/>
        <w:jc w:val="both"/>
        <w:rPr>
          <w:rFonts w:ascii="Arial" w:hAnsi="Arial" w:cs="Arial"/>
          <w:lang w:val="en-US"/>
        </w:rPr>
      </w:pPr>
      <w:r w:rsidRPr="00345354">
        <w:rPr>
          <w:rFonts w:ascii="Arial" w:hAnsi="Arial" w:cs="Arial"/>
          <w:lang w:val="en-US"/>
        </w:rPr>
        <w:t xml:space="preserve">Additionally, [the bank] must make a sensitivity analysis that measures the impact of a </w:t>
      </w:r>
      <w:r w:rsidR="00CF50D4" w:rsidRPr="00345354">
        <w:rPr>
          <w:rFonts w:ascii="Arial" w:hAnsi="Arial" w:cs="Arial"/>
          <w:lang w:val="en-US"/>
        </w:rPr>
        <w:t xml:space="preserve">portfolio </w:t>
      </w:r>
      <w:r w:rsidR="00E56389">
        <w:rPr>
          <w:rFonts w:ascii="Arial" w:hAnsi="Arial" w:cs="Arial"/>
          <w:lang w:val="en-US"/>
        </w:rPr>
        <w:t xml:space="preserve">impairment on the </w:t>
      </w:r>
      <w:r w:rsidR="00CF50D4" w:rsidRPr="00345354">
        <w:rPr>
          <w:rFonts w:ascii="Arial" w:hAnsi="Arial" w:cs="Arial"/>
          <w:lang w:val="en-US"/>
        </w:rPr>
        <w:t xml:space="preserve">bank’s financial results and solvency. </w:t>
      </w:r>
    </w:p>
    <w:p w14:paraId="1EB44939" w14:textId="77777777" w:rsidR="00CF50D4" w:rsidRPr="00345354" w:rsidRDefault="00CF50D4" w:rsidP="004D4950">
      <w:pPr>
        <w:spacing w:after="0" w:line="240" w:lineRule="auto"/>
        <w:ind w:left="708"/>
        <w:jc w:val="both"/>
        <w:rPr>
          <w:rFonts w:ascii="Arial" w:hAnsi="Arial" w:cs="Arial"/>
          <w:lang w:val="en-US"/>
        </w:rPr>
      </w:pPr>
    </w:p>
    <w:p w14:paraId="0569D445" w14:textId="2AE97C84" w:rsidR="00CF50D4" w:rsidRPr="00345354" w:rsidRDefault="00E56389" w:rsidP="004D4950">
      <w:pPr>
        <w:spacing w:after="0" w:line="240" w:lineRule="auto"/>
        <w:ind w:left="708"/>
        <w:jc w:val="both"/>
        <w:rPr>
          <w:rFonts w:ascii="Arial" w:hAnsi="Arial" w:cs="Arial"/>
          <w:lang w:val="en-US"/>
        </w:rPr>
      </w:pPr>
      <w:r>
        <w:rPr>
          <w:rFonts w:ascii="Arial" w:hAnsi="Arial" w:cs="Arial"/>
          <w:lang w:val="en-US"/>
        </w:rPr>
        <w:t>C</w:t>
      </w:r>
      <w:r w:rsidR="00CF50D4" w:rsidRPr="00345354">
        <w:rPr>
          <w:rFonts w:ascii="Arial" w:hAnsi="Arial" w:cs="Arial"/>
          <w:lang w:val="en-US"/>
        </w:rPr>
        <w:t xml:space="preserve">apital planning also covers the establishment of a capital policy that provides predetermined capital strengthening measures according </w:t>
      </w:r>
      <w:r>
        <w:rPr>
          <w:rFonts w:ascii="Arial" w:hAnsi="Arial" w:cs="Arial"/>
          <w:lang w:val="en-US"/>
        </w:rPr>
        <w:t>to</w:t>
      </w:r>
      <w:r w:rsidR="00CF50D4" w:rsidRPr="00345354">
        <w:rPr>
          <w:rFonts w:ascii="Arial" w:hAnsi="Arial" w:cs="Arial"/>
          <w:lang w:val="en-US"/>
        </w:rPr>
        <w:t xml:space="preserve"> previously identified </w:t>
      </w:r>
      <w:r>
        <w:rPr>
          <w:rFonts w:ascii="Arial" w:hAnsi="Arial" w:cs="Arial"/>
          <w:lang w:val="en-US"/>
        </w:rPr>
        <w:t xml:space="preserve">thresholds or </w:t>
      </w:r>
      <w:r w:rsidR="00CF50D4" w:rsidRPr="00345354">
        <w:rPr>
          <w:rFonts w:ascii="Arial" w:hAnsi="Arial" w:cs="Arial"/>
          <w:lang w:val="en-US"/>
        </w:rPr>
        <w:t xml:space="preserve">situations. In this </w:t>
      </w:r>
      <w:r>
        <w:rPr>
          <w:rFonts w:ascii="Arial" w:hAnsi="Arial" w:cs="Arial"/>
          <w:lang w:val="en-US"/>
        </w:rPr>
        <w:t>way, the supervisor knows</w:t>
      </w:r>
      <w:r w:rsidR="00CF50D4" w:rsidRPr="00345354">
        <w:rPr>
          <w:rFonts w:ascii="Arial" w:hAnsi="Arial" w:cs="Arial"/>
          <w:lang w:val="en-US"/>
        </w:rPr>
        <w:t xml:space="preserve"> what to expect </w:t>
      </w:r>
      <w:r>
        <w:rPr>
          <w:rFonts w:ascii="Arial" w:hAnsi="Arial" w:cs="Arial"/>
          <w:lang w:val="en-US"/>
        </w:rPr>
        <w:t>in u</w:t>
      </w:r>
      <w:r w:rsidR="00CF50D4" w:rsidRPr="00345354">
        <w:rPr>
          <w:rFonts w:ascii="Arial" w:hAnsi="Arial" w:cs="Arial"/>
          <w:lang w:val="en-US"/>
        </w:rPr>
        <w:t>nexpected situations, or how the</w:t>
      </w:r>
      <w:r>
        <w:rPr>
          <w:rFonts w:ascii="Arial" w:hAnsi="Arial" w:cs="Arial"/>
          <w:lang w:val="en-US"/>
        </w:rPr>
        <w:t xml:space="preserve"> development of the strategic plan</w:t>
      </w:r>
      <w:r w:rsidR="00CF50D4" w:rsidRPr="00345354">
        <w:rPr>
          <w:rFonts w:ascii="Arial" w:hAnsi="Arial" w:cs="Arial"/>
          <w:lang w:val="en-US"/>
        </w:rPr>
        <w:t xml:space="preserve"> is accompanied </w:t>
      </w:r>
      <w:r w:rsidR="00CF50D4" w:rsidRPr="00345354">
        <w:rPr>
          <w:rFonts w:ascii="Arial" w:hAnsi="Arial" w:cs="Arial"/>
          <w:lang w:val="en-US"/>
        </w:rPr>
        <w:lastRenderedPageBreak/>
        <w:t xml:space="preserve">by </w:t>
      </w:r>
      <w:r>
        <w:rPr>
          <w:rFonts w:ascii="Arial" w:hAnsi="Arial" w:cs="Arial"/>
          <w:lang w:val="en-US"/>
        </w:rPr>
        <w:t xml:space="preserve">the necessary </w:t>
      </w:r>
      <w:r w:rsidR="00CF50D4" w:rsidRPr="00345354">
        <w:rPr>
          <w:rFonts w:ascii="Arial" w:hAnsi="Arial" w:cs="Arial"/>
          <w:lang w:val="en-US"/>
        </w:rPr>
        <w:t xml:space="preserve">capital strengthening </w:t>
      </w:r>
      <w:r>
        <w:rPr>
          <w:rFonts w:ascii="Arial" w:hAnsi="Arial" w:cs="Arial"/>
          <w:lang w:val="en-US"/>
        </w:rPr>
        <w:t>actions:</w:t>
      </w:r>
      <w:r w:rsidR="00CF50D4" w:rsidRPr="00345354">
        <w:rPr>
          <w:rFonts w:ascii="Arial" w:hAnsi="Arial" w:cs="Arial"/>
          <w:lang w:val="en-US"/>
        </w:rPr>
        <w:t xml:space="preserve"> capital contributions, retained earnings or capitalization of profits for the period, issuance of subordinated bonds, constitution of voluntary provisions, etc. </w:t>
      </w:r>
    </w:p>
    <w:p w14:paraId="32E729F5" w14:textId="77777777" w:rsidR="003D6173" w:rsidRPr="00345354" w:rsidRDefault="003D6173" w:rsidP="004D4950">
      <w:pPr>
        <w:spacing w:after="0" w:line="240" w:lineRule="auto"/>
        <w:ind w:left="708"/>
        <w:jc w:val="both"/>
        <w:rPr>
          <w:rFonts w:ascii="Arial" w:hAnsi="Arial" w:cs="Arial"/>
          <w:lang w:val="en-US"/>
        </w:rPr>
      </w:pPr>
    </w:p>
    <w:p w14:paraId="6941698D" w14:textId="4C204DE9" w:rsidR="003D6173" w:rsidRPr="00345354" w:rsidRDefault="00E56389" w:rsidP="004D4950">
      <w:pPr>
        <w:spacing w:after="0" w:line="240" w:lineRule="auto"/>
        <w:ind w:left="708"/>
        <w:jc w:val="both"/>
        <w:rPr>
          <w:rFonts w:ascii="Arial" w:hAnsi="Arial" w:cs="Arial"/>
          <w:lang w:val="en-US"/>
        </w:rPr>
      </w:pPr>
      <w:r>
        <w:rPr>
          <w:rFonts w:ascii="Arial" w:hAnsi="Arial" w:cs="Arial"/>
          <w:lang w:val="en-US"/>
        </w:rPr>
        <w:t>This report must</w:t>
      </w:r>
      <w:r w:rsidR="003D6173" w:rsidRPr="00345354">
        <w:rPr>
          <w:rFonts w:ascii="Arial" w:hAnsi="Arial" w:cs="Arial"/>
          <w:lang w:val="en-US"/>
        </w:rPr>
        <w:t xml:space="preserve"> be signed by the person responsible for the Risk Unit, the person in charge of its preparation (if applicable) and approved by the Board of Directors in conformity. The</w:t>
      </w:r>
      <w:r w:rsidR="00C30B08">
        <w:rPr>
          <w:rFonts w:ascii="Arial" w:hAnsi="Arial" w:cs="Arial"/>
          <w:lang w:val="en-US"/>
        </w:rPr>
        <w:t xml:space="preserve"> pertinent part of the Bank’s Strategic Plan and Budget that serves as the basis for the figures used in the preparation of projections, </w:t>
      </w:r>
      <w:r w:rsidR="002B651F" w:rsidRPr="00345354">
        <w:rPr>
          <w:rFonts w:ascii="Arial" w:hAnsi="Arial" w:cs="Arial"/>
          <w:lang w:val="en-US"/>
        </w:rPr>
        <w:t>as well as the internal documents describing the stress-testing methodology and supports the risk appetite</w:t>
      </w:r>
      <w:r w:rsidR="002B651F">
        <w:rPr>
          <w:rFonts w:ascii="Arial" w:hAnsi="Arial" w:cs="Arial"/>
          <w:lang w:val="en-US"/>
        </w:rPr>
        <w:t xml:space="preserve"> framework</w:t>
      </w:r>
      <w:r w:rsidR="00C30B08">
        <w:rPr>
          <w:rFonts w:ascii="Arial" w:hAnsi="Arial" w:cs="Arial"/>
          <w:lang w:val="en-US"/>
        </w:rPr>
        <w:t>, must be made available to th</w:t>
      </w:r>
      <w:r w:rsidR="002B651F">
        <w:rPr>
          <w:rFonts w:ascii="Arial" w:hAnsi="Arial" w:cs="Arial"/>
          <w:lang w:val="en-US"/>
        </w:rPr>
        <w:t>e Superintendency when required</w:t>
      </w:r>
      <w:r w:rsidR="00FC1BF4" w:rsidRPr="00345354">
        <w:rPr>
          <w:rFonts w:ascii="Arial" w:hAnsi="Arial" w:cs="Arial"/>
          <w:lang w:val="en-US"/>
        </w:rPr>
        <w:t xml:space="preserve">. </w:t>
      </w:r>
      <w:r w:rsidR="002B651F">
        <w:rPr>
          <w:rFonts w:ascii="Arial" w:hAnsi="Arial" w:cs="Arial"/>
          <w:lang w:val="en-US"/>
        </w:rPr>
        <w:t>This will be done</w:t>
      </w:r>
      <w:r w:rsidR="00FC1BF4" w:rsidRPr="00345354">
        <w:rPr>
          <w:rFonts w:ascii="Arial" w:hAnsi="Arial" w:cs="Arial"/>
          <w:lang w:val="en-US"/>
        </w:rPr>
        <w:t xml:space="preserve"> in order to guide banks on the internal processes they have applied for their preparation. </w:t>
      </w:r>
    </w:p>
    <w:p w14:paraId="19AAE246" w14:textId="77777777" w:rsidR="00FE4F76" w:rsidRPr="00345354" w:rsidRDefault="00FE4F76" w:rsidP="004D4950">
      <w:pPr>
        <w:spacing w:after="0" w:line="240" w:lineRule="auto"/>
        <w:ind w:left="708"/>
        <w:jc w:val="both"/>
        <w:rPr>
          <w:rFonts w:ascii="Arial" w:hAnsi="Arial" w:cs="Arial"/>
          <w:lang w:val="en-US"/>
        </w:rPr>
      </w:pPr>
    </w:p>
    <w:p w14:paraId="372808FE" w14:textId="61D0D083" w:rsidR="00EB2428" w:rsidRPr="00345354" w:rsidRDefault="00FC1BF4" w:rsidP="004D4950">
      <w:pPr>
        <w:pStyle w:val="Prrafodelista"/>
        <w:numPr>
          <w:ilvl w:val="0"/>
          <w:numId w:val="1"/>
        </w:numPr>
        <w:spacing w:after="0" w:line="240" w:lineRule="auto"/>
        <w:jc w:val="both"/>
        <w:rPr>
          <w:rFonts w:ascii="Arial" w:hAnsi="Arial" w:cs="Arial"/>
          <w:b/>
          <w:lang w:val="en-US"/>
        </w:rPr>
      </w:pPr>
      <w:r w:rsidRPr="00345354">
        <w:rPr>
          <w:rFonts w:ascii="Arial" w:hAnsi="Arial" w:cs="Arial"/>
          <w:b/>
          <w:lang w:val="en-US"/>
        </w:rPr>
        <w:t>Report Structure</w:t>
      </w:r>
    </w:p>
    <w:p w14:paraId="7992B1FE" w14:textId="77777777" w:rsidR="00E76760" w:rsidRDefault="00E76760" w:rsidP="00FC1BF4">
      <w:pPr>
        <w:spacing w:after="0" w:line="240" w:lineRule="auto"/>
        <w:ind w:left="708"/>
        <w:jc w:val="both"/>
        <w:rPr>
          <w:rFonts w:ascii="Arial" w:hAnsi="Arial" w:cs="Arial"/>
          <w:lang w:val="en-US"/>
        </w:rPr>
      </w:pPr>
    </w:p>
    <w:p w14:paraId="15EDD663" w14:textId="3E8F1056" w:rsidR="00437F52" w:rsidRPr="00345354" w:rsidRDefault="00FC1BF4" w:rsidP="00FC1BF4">
      <w:pPr>
        <w:spacing w:after="0" w:line="240" w:lineRule="auto"/>
        <w:ind w:left="708"/>
        <w:jc w:val="both"/>
        <w:rPr>
          <w:rFonts w:ascii="Arial" w:hAnsi="Arial" w:cs="Arial"/>
          <w:lang w:val="en-US"/>
        </w:rPr>
      </w:pPr>
      <w:r w:rsidRPr="00345354">
        <w:rPr>
          <w:rFonts w:ascii="Arial" w:hAnsi="Arial" w:cs="Arial"/>
          <w:lang w:val="en-US"/>
        </w:rPr>
        <w:t>The report submitted by the bank must contain eight (8) sections (including the attachments enclosed to this guide)</w:t>
      </w:r>
      <w:r w:rsidR="00437F52" w:rsidRPr="00345354">
        <w:rPr>
          <w:rFonts w:ascii="Arial" w:hAnsi="Arial" w:cs="Arial"/>
          <w:lang w:val="en-US"/>
        </w:rPr>
        <w:t>:</w:t>
      </w:r>
    </w:p>
    <w:p w14:paraId="60464CD5" w14:textId="77777777" w:rsidR="00764116" w:rsidRPr="00345354" w:rsidRDefault="00764116" w:rsidP="004D4950">
      <w:pPr>
        <w:spacing w:after="0" w:line="240" w:lineRule="auto"/>
        <w:ind w:left="708"/>
        <w:jc w:val="both"/>
        <w:rPr>
          <w:rFonts w:ascii="Arial" w:hAnsi="Arial" w:cs="Arial"/>
          <w:lang w:val="en-US"/>
        </w:rPr>
      </w:pPr>
    </w:p>
    <w:p w14:paraId="03FE826A" w14:textId="57B6E45E" w:rsidR="00764116" w:rsidRPr="00345354" w:rsidRDefault="00764116" w:rsidP="00764116">
      <w:pPr>
        <w:tabs>
          <w:tab w:val="left" w:pos="1276"/>
        </w:tabs>
        <w:spacing w:after="0" w:line="240" w:lineRule="auto"/>
        <w:ind w:left="1276" w:hanging="567"/>
        <w:jc w:val="both"/>
        <w:rPr>
          <w:rFonts w:ascii="Arial" w:hAnsi="Arial" w:cs="Arial"/>
          <w:b/>
          <w:lang w:val="en-US"/>
        </w:rPr>
      </w:pPr>
      <w:r w:rsidRPr="00345354">
        <w:rPr>
          <w:rFonts w:ascii="Arial" w:hAnsi="Arial" w:cs="Arial"/>
          <w:b/>
          <w:lang w:val="en-US"/>
        </w:rPr>
        <w:t xml:space="preserve">2.1.   </w:t>
      </w:r>
      <w:r w:rsidR="00FC1BF4" w:rsidRPr="00345354">
        <w:rPr>
          <w:rFonts w:ascii="Arial" w:hAnsi="Arial" w:cs="Arial"/>
          <w:b/>
          <w:lang w:val="en-US"/>
        </w:rPr>
        <w:t>Capital planning and monitoring</w:t>
      </w:r>
      <w:r w:rsidR="002B651F">
        <w:rPr>
          <w:rFonts w:ascii="Arial" w:hAnsi="Arial" w:cs="Arial"/>
          <w:b/>
          <w:lang w:val="en-US"/>
        </w:rPr>
        <w:t xml:space="preserve"> </w:t>
      </w:r>
      <w:r w:rsidR="002B651F" w:rsidRPr="00345354">
        <w:rPr>
          <w:rFonts w:ascii="Arial" w:hAnsi="Arial" w:cs="Arial"/>
          <w:b/>
          <w:lang w:val="en-US"/>
        </w:rPr>
        <w:t>process</w:t>
      </w:r>
    </w:p>
    <w:p w14:paraId="55DDD9B9" w14:textId="77777777" w:rsidR="00764116" w:rsidRPr="00345354" w:rsidRDefault="00764116" w:rsidP="00764116">
      <w:pPr>
        <w:tabs>
          <w:tab w:val="left" w:pos="1276"/>
        </w:tabs>
        <w:spacing w:after="0" w:line="240" w:lineRule="auto"/>
        <w:ind w:left="1276"/>
        <w:jc w:val="both"/>
        <w:rPr>
          <w:rFonts w:ascii="Arial" w:hAnsi="Arial" w:cs="Arial"/>
          <w:lang w:val="en-US"/>
        </w:rPr>
      </w:pPr>
    </w:p>
    <w:p w14:paraId="44F18274" w14:textId="69BB2BFC" w:rsidR="00FC1BF4" w:rsidRPr="00345354" w:rsidRDefault="00FC1BF4" w:rsidP="00764116">
      <w:pPr>
        <w:tabs>
          <w:tab w:val="left" w:pos="1276"/>
        </w:tabs>
        <w:spacing w:after="0" w:line="240" w:lineRule="auto"/>
        <w:ind w:left="1276"/>
        <w:jc w:val="both"/>
        <w:rPr>
          <w:rFonts w:ascii="Arial" w:hAnsi="Arial" w:cs="Arial"/>
          <w:lang w:val="en-US"/>
        </w:rPr>
      </w:pPr>
      <w:r w:rsidRPr="00345354">
        <w:rPr>
          <w:rFonts w:ascii="Arial" w:hAnsi="Arial" w:cs="Arial"/>
          <w:lang w:val="en-US"/>
        </w:rPr>
        <w:t xml:space="preserve">A description of the process containing the pre-established procedures </w:t>
      </w:r>
      <w:r w:rsidR="002B651F">
        <w:rPr>
          <w:rFonts w:ascii="Arial" w:hAnsi="Arial" w:cs="Arial"/>
          <w:lang w:val="en-US"/>
        </w:rPr>
        <w:t xml:space="preserve">and </w:t>
      </w:r>
      <w:r w:rsidRPr="00345354">
        <w:rPr>
          <w:rFonts w:ascii="Arial" w:hAnsi="Arial" w:cs="Arial"/>
          <w:lang w:val="en-US"/>
        </w:rPr>
        <w:t xml:space="preserve">the necessary degree of formality. </w:t>
      </w:r>
      <w:r w:rsidR="002239A8" w:rsidRPr="00345354">
        <w:rPr>
          <w:rFonts w:ascii="Arial" w:hAnsi="Arial" w:cs="Arial"/>
          <w:lang w:val="en-US"/>
        </w:rPr>
        <w:t xml:space="preserve">The responsible areas and </w:t>
      </w:r>
      <w:r w:rsidR="002B651F">
        <w:rPr>
          <w:rFonts w:ascii="Arial" w:hAnsi="Arial" w:cs="Arial"/>
          <w:lang w:val="en-US"/>
        </w:rPr>
        <w:t>deadlines</w:t>
      </w:r>
      <w:r w:rsidR="002239A8" w:rsidRPr="00345354">
        <w:rPr>
          <w:rFonts w:ascii="Arial" w:hAnsi="Arial" w:cs="Arial"/>
          <w:lang w:val="en-US"/>
        </w:rPr>
        <w:t xml:space="preserve"> (activity chronogram) used for the</w:t>
      </w:r>
      <w:r w:rsidR="002B651F">
        <w:rPr>
          <w:rFonts w:ascii="Arial" w:hAnsi="Arial" w:cs="Arial"/>
          <w:lang w:val="en-US"/>
        </w:rPr>
        <w:t>ir</w:t>
      </w:r>
      <w:r w:rsidR="002239A8" w:rsidRPr="00345354">
        <w:rPr>
          <w:rFonts w:ascii="Arial" w:hAnsi="Arial" w:cs="Arial"/>
          <w:lang w:val="en-US"/>
        </w:rPr>
        <w:t xml:space="preserve"> preparation, the sources of information and support of </w:t>
      </w:r>
      <w:r w:rsidR="002B651F">
        <w:rPr>
          <w:rFonts w:ascii="Arial" w:hAnsi="Arial" w:cs="Arial"/>
          <w:lang w:val="en-US"/>
        </w:rPr>
        <w:t>assumption</w:t>
      </w:r>
      <w:r w:rsidR="002239A8" w:rsidRPr="00345354">
        <w:rPr>
          <w:rFonts w:ascii="Arial" w:hAnsi="Arial" w:cs="Arial"/>
          <w:lang w:val="en-US"/>
        </w:rPr>
        <w:t xml:space="preserve">s, tools, computer systems, quantitative and qualitative methodologies used, </w:t>
      </w:r>
      <w:r w:rsidR="002B651F">
        <w:rPr>
          <w:rFonts w:ascii="Arial" w:hAnsi="Arial" w:cs="Arial"/>
          <w:lang w:val="en-US"/>
        </w:rPr>
        <w:t>internal process</w:t>
      </w:r>
      <w:r w:rsidR="002239A8" w:rsidRPr="00345354">
        <w:rPr>
          <w:rFonts w:ascii="Arial" w:hAnsi="Arial" w:cs="Arial"/>
          <w:lang w:val="en-US"/>
        </w:rPr>
        <w:t xml:space="preserve"> controls must be specified. It should be clearly stipulated the adjustment of the capital planning process to the bank’s strategic plan and budget. Any change in the (economic, regulatory or business) environment must be included in the modifications or updates to capital planning. </w:t>
      </w:r>
    </w:p>
    <w:p w14:paraId="00267FB9" w14:textId="77777777" w:rsidR="00FC1BF4" w:rsidRPr="00345354" w:rsidRDefault="00FC1BF4" w:rsidP="00764116">
      <w:pPr>
        <w:tabs>
          <w:tab w:val="left" w:pos="1276"/>
        </w:tabs>
        <w:spacing w:after="0" w:line="240" w:lineRule="auto"/>
        <w:ind w:left="1276"/>
        <w:jc w:val="both"/>
        <w:rPr>
          <w:rFonts w:ascii="Arial" w:hAnsi="Arial" w:cs="Arial"/>
          <w:lang w:val="en-US"/>
        </w:rPr>
      </w:pPr>
    </w:p>
    <w:p w14:paraId="7446DD66" w14:textId="6416D757" w:rsidR="00A46F66" w:rsidRPr="00345354" w:rsidRDefault="0003107A" w:rsidP="007F40A5">
      <w:pPr>
        <w:spacing w:after="0" w:line="240" w:lineRule="auto"/>
        <w:ind w:left="1276" w:hanging="567"/>
        <w:jc w:val="both"/>
        <w:rPr>
          <w:rFonts w:ascii="Arial" w:hAnsi="Arial" w:cs="Arial"/>
          <w:b/>
          <w:lang w:val="en-US"/>
        </w:rPr>
      </w:pPr>
      <w:r w:rsidRPr="00345354">
        <w:rPr>
          <w:rFonts w:ascii="Arial" w:hAnsi="Arial" w:cs="Arial"/>
          <w:b/>
          <w:lang w:val="en-US"/>
        </w:rPr>
        <w:t>2.2</w:t>
      </w:r>
      <w:r w:rsidR="007F40A5" w:rsidRPr="00345354">
        <w:rPr>
          <w:rFonts w:ascii="Arial" w:hAnsi="Arial" w:cs="Arial"/>
          <w:b/>
          <w:lang w:val="en-US"/>
        </w:rPr>
        <w:t>.</w:t>
      </w:r>
      <w:r w:rsidRPr="00345354">
        <w:rPr>
          <w:rFonts w:ascii="Arial" w:hAnsi="Arial" w:cs="Arial"/>
          <w:b/>
          <w:lang w:val="en-US"/>
        </w:rPr>
        <w:t xml:space="preserve"> </w:t>
      </w:r>
      <w:r w:rsidR="007F40A5" w:rsidRPr="00345354">
        <w:rPr>
          <w:rFonts w:ascii="Arial" w:hAnsi="Arial" w:cs="Arial"/>
          <w:b/>
          <w:lang w:val="en-US"/>
        </w:rPr>
        <w:tab/>
      </w:r>
      <w:r w:rsidR="002B651F">
        <w:rPr>
          <w:rFonts w:ascii="Arial" w:hAnsi="Arial" w:cs="Arial"/>
          <w:b/>
          <w:lang w:val="en-US"/>
        </w:rPr>
        <w:t>Projection</w:t>
      </w:r>
      <w:r w:rsidR="00AD4FB6" w:rsidRPr="00345354">
        <w:rPr>
          <w:rFonts w:ascii="Arial" w:hAnsi="Arial" w:cs="Arial"/>
          <w:b/>
          <w:lang w:val="en-US"/>
        </w:rPr>
        <w:t xml:space="preserve"> of main accounts of the Balance Sheet and Profit Statement</w:t>
      </w:r>
    </w:p>
    <w:p w14:paraId="1A2C9C30" w14:textId="77777777" w:rsidR="002B651F" w:rsidRDefault="002B651F" w:rsidP="00E32D97">
      <w:pPr>
        <w:spacing w:after="0" w:line="240" w:lineRule="auto"/>
        <w:ind w:left="1985" w:hanging="709"/>
        <w:jc w:val="both"/>
        <w:rPr>
          <w:rFonts w:ascii="Arial" w:hAnsi="Arial" w:cs="Arial"/>
          <w:lang w:val="en-US"/>
        </w:rPr>
      </w:pPr>
    </w:p>
    <w:p w14:paraId="55B018EE" w14:textId="4115DC62" w:rsidR="00EA3887" w:rsidRPr="00345354" w:rsidRDefault="007F40A5" w:rsidP="00E32D97">
      <w:pPr>
        <w:spacing w:after="0" w:line="240" w:lineRule="auto"/>
        <w:ind w:left="1985" w:hanging="709"/>
        <w:jc w:val="both"/>
        <w:rPr>
          <w:rFonts w:ascii="Arial" w:hAnsi="Arial" w:cs="Arial"/>
          <w:lang w:val="en-US"/>
        </w:rPr>
      </w:pPr>
      <w:r w:rsidRPr="00345354">
        <w:rPr>
          <w:rFonts w:ascii="Arial" w:hAnsi="Arial" w:cs="Arial"/>
          <w:lang w:val="en-US"/>
        </w:rPr>
        <w:t xml:space="preserve">2.2.1. </w:t>
      </w:r>
      <w:r w:rsidR="0050695C" w:rsidRPr="00345354">
        <w:rPr>
          <w:rFonts w:ascii="Arial" w:hAnsi="Arial" w:cs="Arial"/>
          <w:lang w:val="en-US"/>
        </w:rPr>
        <w:tab/>
      </w:r>
      <w:r w:rsidR="00AD4FB6" w:rsidRPr="00345354">
        <w:rPr>
          <w:rFonts w:ascii="Arial" w:hAnsi="Arial" w:cs="Arial"/>
          <w:lang w:val="en-US"/>
        </w:rPr>
        <w:t xml:space="preserve">Base </w:t>
      </w:r>
      <w:r w:rsidR="00EA3887" w:rsidRPr="00345354">
        <w:rPr>
          <w:rFonts w:ascii="Arial" w:hAnsi="Arial" w:cs="Arial"/>
          <w:lang w:val="en-US"/>
        </w:rPr>
        <w:t>Scenario</w:t>
      </w:r>
      <w:r w:rsidR="005275DE" w:rsidRPr="00345354">
        <w:rPr>
          <w:rStyle w:val="Refdenotaalpie"/>
          <w:rFonts w:ascii="Arial" w:hAnsi="Arial" w:cs="Arial"/>
          <w:lang w:val="en-US"/>
        </w:rPr>
        <w:footnoteReference w:id="1"/>
      </w:r>
      <w:r w:rsidR="00C860D2" w:rsidRPr="00345354">
        <w:rPr>
          <w:rFonts w:ascii="Arial" w:hAnsi="Arial" w:cs="Arial"/>
          <w:lang w:val="en-US"/>
        </w:rPr>
        <w:t xml:space="preserve"> </w:t>
      </w:r>
      <w:r w:rsidR="00EA3887" w:rsidRPr="00345354">
        <w:rPr>
          <w:rFonts w:ascii="Arial" w:hAnsi="Arial" w:cs="Arial"/>
          <w:lang w:val="en-US"/>
        </w:rPr>
        <w:t xml:space="preserve">is </w:t>
      </w:r>
      <w:r w:rsidR="0050695C" w:rsidRPr="00345354">
        <w:rPr>
          <w:rFonts w:ascii="Arial" w:hAnsi="Arial" w:cs="Arial"/>
          <w:lang w:val="en-US"/>
        </w:rPr>
        <w:t>the projection that incorporates the assumptions and objectives of the budget and the Strategic Plan in a scenario considered “normal” or expected. The macroeconomic variables used (GDP, inflation, interest rates, etc.) and the assumptions or levels assume</w:t>
      </w:r>
      <w:r w:rsidR="002B651F">
        <w:rPr>
          <w:rFonts w:ascii="Arial" w:hAnsi="Arial" w:cs="Arial"/>
          <w:lang w:val="en-US"/>
        </w:rPr>
        <w:t>d for the</w:t>
      </w:r>
      <w:r w:rsidR="0050695C" w:rsidRPr="00345354">
        <w:rPr>
          <w:rFonts w:ascii="Arial" w:hAnsi="Arial" w:cs="Arial"/>
          <w:lang w:val="en-US"/>
        </w:rPr>
        <w:t xml:space="preserve">se variables </w:t>
      </w:r>
      <w:r w:rsidR="002B651F">
        <w:rPr>
          <w:rFonts w:ascii="Arial" w:hAnsi="Arial" w:cs="Arial"/>
          <w:lang w:val="en-US"/>
        </w:rPr>
        <w:t xml:space="preserve">should </w:t>
      </w:r>
      <w:r w:rsidR="0050695C" w:rsidRPr="00345354">
        <w:rPr>
          <w:rFonts w:ascii="Arial" w:hAnsi="Arial" w:cs="Arial"/>
          <w:lang w:val="en-US"/>
        </w:rPr>
        <w:t xml:space="preserve">be detailed. The projections of the main accounting accounts (loans, income, provisions, etc.) must be made with a methodology </w:t>
      </w:r>
      <w:r w:rsidR="002B651F">
        <w:rPr>
          <w:rFonts w:ascii="Arial" w:hAnsi="Arial" w:cs="Arial"/>
          <w:lang w:val="en-US"/>
        </w:rPr>
        <w:t xml:space="preserve">that defines </w:t>
      </w:r>
      <w:r w:rsidR="0050695C" w:rsidRPr="00345354">
        <w:rPr>
          <w:rFonts w:ascii="Arial" w:hAnsi="Arial" w:cs="Arial"/>
          <w:lang w:val="en-US"/>
        </w:rPr>
        <w:t xml:space="preserve">the transmission channels of the macroeconomic assumptions. </w:t>
      </w:r>
      <w:r w:rsidR="0050695C" w:rsidRPr="00345354">
        <w:rPr>
          <w:rFonts w:ascii="Arial" w:hAnsi="Arial" w:cs="Arial"/>
          <w:b/>
          <w:lang w:val="en-US"/>
        </w:rPr>
        <w:t xml:space="preserve">(See </w:t>
      </w:r>
      <w:r w:rsidR="00D51FDA">
        <w:rPr>
          <w:rFonts w:ascii="Arial" w:hAnsi="Arial" w:cs="Arial"/>
          <w:b/>
          <w:lang w:val="en-US"/>
        </w:rPr>
        <w:t>Annex</w:t>
      </w:r>
      <w:r w:rsidR="0050695C" w:rsidRPr="00345354">
        <w:rPr>
          <w:rFonts w:ascii="Arial" w:hAnsi="Arial" w:cs="Arial"/>
          <w:b/>
          <w:lang w:val="en-US"/>
        </w:rPr>
        <w:t xml:space="preserve"> 1, Paragraph I)</w:t>
      </w:r>
      <w:r w:rsidR="00372E82" w:rsidRPr="00345354">
        <w:rPr>
          <w:rFonts w:ascii="Arial" w:hAnsi="Arial" w:cs="Arial"/>
          <w:lang w:val="en-US"/>
        </w:rPr>
        <w:t xml:space="preserve">. </w:t>
      </w:r>
    </w:p>
    <w:p w14:paraId="47CFE3A0" w14:textId="77777777" w:rsidR="00E32D97" w:rsidRPr="00345354" w:rsidRDefault="00E32D97" w:rsidP="00E32D97">
      <w:pPr>
        <w:spacing w:after="0" w:line="240" w:lineRule="auto"/>
        <w:ind w:left="1985" w:hanging="709"/>
        <w:jc w:val="both"/>
        <w:rPr>
          <w:rFonts w:ascii="Arial" w:hAnsi="Arial" w:cs="Arial"/>
          <w:lang w:val="en-US"/>
        </w:rPr>
      </w:pPr>
    </w:p>
    <w:p w14:paraId="6B977C55" w14:textId="69EDDA09" w:rsidR="008B68FC" w:rsidRPr="00345354" w:rsidRDefault="004D5D1E" w:rsidP="00E32D97">
      <w:pPr>
        <w:spacing w:after="0" w:line="240" w:lineRule="auto"/>
        <w:ind w:left="1985" w:hanging="709"/>
        <w:jc w:val="both"/>
        <w:rPr>
          <w:rFonts w:ascii="Arial" w:hAnsi="Arial" w:cs="Arial"/>
          <w:lang w:val="en-US"/>
        </w:rPr>
      </w:pPr>
      <w:r w:rsidRPr="00345354">
        <w:rPr>
          <w:rFonts w:ascii="Arial" w:hAnsi="Arial" w:cs="Arial"/>
          <w:lang w:val="en-US"/>
        </w:rPr>
        <w:t>2.2.2.</w:t>
      </w:r>
      <w:r w:rsidR="008B68FC" w:rsidRPr="00345354">
        <w:rPr>
          <w:rFonts w:ascii="Arial" w:hAnsi="Arial" w:cs="Arial"/>
          <w:lang w:val="en-US"/>
        </w:rPr>
        <w:tab/>
        <w:t xml:space="preserve">Calculation of </w:t>
      </w:r>
      <w:r w:rsidR="002F4B47">
        <w:rPr>
          <w:rFonts w:ascii="Arial" w:hAnsi="Arial" w:cs="Arial"/>
          <w:lang w:val="en-US"/>
        </w:rPr>
        <w:t xml:space="preserve">the </w:t>
      </w:r>
      <w:r w:rsidR="008B68FC" w:rsidRPr="00345354">
        <w:rPr>
          <w:rFonts w:ascii="Arial" w:hAnsi="Arial" w:cs="Arial"/>
          <w:lang w:val="en-US"/>
        </w:rPr>
        <w:t>Capital fund</w:t>
      </w:r>
      <w:r w:rsidR="002F4B47">
        <w:rPr>
          <w:rFonts w:ascii="Arial" w:hAnsi="Arial" w:cs="Arial"/>
          <w:lang w:val="en-US"/>
        </w:rPr>
        <w:t>s requirement</w:t>
      </w:r>
      <w:r w:rsidR="008B68FC" w:rsidRPr="00345354">
        <w:rPr>
          <w:rFonts w:ascii="Arial" w:hAnsi="Arial" w:cs="Arial"/>
          <w:lang w:val="en-US"/>
        </w:rPr>
        <w:t xml:space="preserve">, the bank identifies the main sources of risk generated by its business lines and strategies. </w:t>
      </w:r>
      <w:r w:rsidR="002F4B47">
        <w:rPr>
          <w:rFonts w:ascii="Arial" w:hAnsi="Arial" w:cs="Arial"/>
          <w:lang w:val="en-US"/>
        </w:rPr>
        <w:t>First</w:t>
      </w:r>
      <w:r w:rsidR="008B68FC" w:rsidRPr="00345354">
        <w:rPr>
          <w:rFonts w:ascii="Arial" w:hAnsi="Arial" w:cs="Arial"/>
          <w:lang w:val="en-US"/>
        </w:rPr>
        <w:t xml:space="preserve">, the bank estimates </w:t>
      </w:r>
      <w:r w:rsidR="002F4B47">
        <w:rPr>
          <w:rFonts w:ascii="Arial" w:hAnsi="Arial" w:cs="Arial"/>
          <w:lang w:val="en-US"/>
        </w:rPr>
        <w:t xml:space="preserve">the </w:t>
      </w:r>
      <w:r w:rsidR="008B68FC" w:rsidRPr="00345354">
        <w:rPr>
          <w:rFonts w:ascii="Arial" w:hAnsi="Arial" w:cs="Arial"/>
          <w:lang w:val="en-US"/>
        </w:rPr>
        <w:t xml:space="preserve">capital requirements to date required by domestic regulation (credit and counterparty risk weighted assets Rule 3-2016), then </w:t>
      </w:r>
      <w:r w:rsidR="002F4B47">
        <w:rPr>
          <w:rFonts w:ascii="Arial" w:hAnsi="Arial" w:cs="Arial"/>
          <w:lang w:val="en-US"/>
        </w:rPr>
        <w:t xml:space="preserve">it estimates the capital requirements of other risks taking as reference the provisions on </w:t>
      </w:r>
      <w:r w:rsidR="008B68FC" w:rsidRPr="00345354">
        <w:rPr>
          <w:rFonts w:ascii="Arial" w:hAnsi="Arial" w:cs="Arial"/>
          <w:lang w:val="en-US"/>
        </w:rPr>
        <w:t xml:space="preserve">Rule 8-2010 on Comprehensive Risk </w:t>
      </w:r>
      <w:r w:rsidR="008B68FC" w:rsidRPr="00345354">
        <w:rPr>
          <w:rFonts w:ascii="Arial" w:hAnsi="Arial" w:cs="Arial"/>
          <w:lang w:val="en-US"/>
        </w:rPr>
        <w:lastRenderedPageBreak/>
        <w:t xml:space="preserve">Management, </w:t>
      </w:r>
      <w:r w:rsidR="002F4B47">
        <w:rPr>
          <w:rFonts w:ascii="Arial" w:hAnsi="Arial" w:cs="Arial"/>
          <w:lang w:val="en-US"/>
        </w:rPr>
        <w:t>as long as they are relevant to the bank</w:t>
      </w:r>
      <w:r w:rsidR="008B68FC" w:rsidRPr="00345354">
        <w:rPr>
          <w:rFonts w:ascii="Arial" w:hAnsi="Arial" w:cs="Arial"/>
          <w:lang w:val="en-US"/>
        </w:rPr>
        <w:t xml:space="preserve">. The estimation should not be </w:t>
      </w:r>
      <w:r w:rsidR="002F4B47">
        <w:rPr>
          <w:rFonts w:ascii="Arial" w:hAnsi="Arial" w:cs="Arial"/>
          <w:lang w:val="en-US"/>
        </w:rPr>
        <w:t>lacking</w:t>
      </w:r>
      <w:r w:rsidR="008B68FC" w:rsidRPr="00345354">
        <w:rPr>
          <w:rFonts w:ascii="Arial" w:hAnsi="Arial" w:cs="Arial"/>
          <w:lang w:val="en-US"/>
        </w:rPr>
        <w:t xml:space="preserve"> for those risks that already have calculation methodologies at the level of the Basel Committee standards or </w:t>
      </w:r>
      <w:r w:rsidR="002F4B47">
        <w:rPr>
          <w:rFonts w:ascii="Arial" w:hAnsi="Arial" w:cs="Arial"/>
          <w:lang w:val="en-US"/>
        </w:rPr>
        <w:t xml:space="preserve">in </w:t>
      </w:r>
      <w:r w:rsidR="008B68FC" w:rsidRPr="00345354">
        <w:rPr>
          <w:rFonts w:ascii="Arial" w:hAnsi="Arial" w:cs="Arial"/>
          <w:lang w:val="en-US"/>
        </w:rPr>
        <w:t>the banking regulation issued by the Superintendency on Operational Risk and Marketing Risk</w:t>
      </w:r>
      <w:r w:rsidR="004F3A74" w:rsidRPr="00345354">
        <w:rPr>
          <w:rFonts w:ascii="Arial" w:hAnsi="Arial" w:cs="Arial"/>
          <w:lang w:val="en-US"/>
        </w:rPr>
        <w:t>. Those risks that are theoretically easy to describe</w:t>
      </w:r>
      <w:r w:rsidR="002F4B47">
        <w:rPr>
          <w:rFonts w:ascii="Arial" w:hAnsi="Arial" w:cs="Arial"/>
          <w:lang w:val="en-US"/>
        </w:rPr>
        <w:t>,</w:t>
      </w:r>
      <w:r w:rsidR="004F3A74" w:rsidRPr="00345354">
        <w:rPr>
          <w:rFonts w:ascii="Arial" w:hAnsi="Arial" w:cs="Arial"/>
          <w:lang w:val="en-US"/>
        </w:rPr>
        <w:t xml:space="preserve"> but difficult to quantify</w:t>
      </w:r>
      <w:r w:rsidR="002F4B47">
        <w:rPr>
          <w:rFonts w:ascii="Arial" w:hAnsi="Arial" w:cs="Arial"/>
          <w:lang w:val="en-US"/>
        </w:rPr>
        <w:t>,</w:t>
      </w:r>
      <w:r w:rsidR="004F3A74" w:rsidRPr="00345354">
        <w:rPr>
          <w:rFonts w:ascii="Arial" w:hAnsi="Arial" w:cs="Arial"/>
          <w:lang w:val="en-US"/>
        </w:rPr>
        <w:t xml:space="preserve"> are up to the bank’s opinion </w:t>
      </w:r>
      <w:r w:rsidR="004F3A74" w:rsidRPr="00345354">
        <w:rPr>
          <w:rFonts w:ascii="Arial" w:hAnsi="Arial" w:cs="Arial"/>
          <w:b/>
          <w:lang w:val="en-US"/>
        </w:rPr>
        <w:t xml:space="preserve">(See </w:t>
      </w:r>
      <w:r w:rsidR="00D51FDA">
        <w:rPr>
          <w:rFonts w:ascii="Arial" w:hAnsi="Arial" w:cs="Arial"/>
          <w:b/>
          <w:lang w:val="en-US"/>
        </w:rPr>
        <w:t>Annex</w:t>
      </w:r>
      <w:r w:rsidR="004F3A74" w:rsidRPr="00345354">
        <w:rPr>
          <w:rFonts w:ascii="Arial" w:hAnsi="Arial" w:cs="Arial"/>
          <w:b/>
          <w:lang w:val="en-US"/>
        </w:rPr>
        <w:t xml:space="preserve"> 1, paragraph II)</w:t>
      </w:r>
      <w:r w:rsidR="004F3A74" w:rsidRPr="00345354">
        <w:rPr>
          <w:rFonts w:ascii="Arial" w:hAnsi="Arial" w:cs="Arial"/>
          <w:lang w:val="en-US"/>
        </w:rPr>
        <w:t>.</w:t>
      </w:r>
    </w:p>
    <w:p w14:paraId="7F7A6022" w14:textId="77777777" w:rsidR="008B68FC" w:rsidRPr="00345354" w:rsidRDefault="008B68FC" w:rsidP="00E32D97">
      <w:pPr>
        <w:spacing w:after="0" w:line="240" w:lineRule="auto"/>
        <w:ind w:left="1985" w:hanging="709"/>
        <w:jc w:val="both"/>
        <w:rPr>
          <w:rFonts w:ascii="Arial" w:hAnsi="Arial" w:cs="Arial"/>
          <w:lang w:val="en-US"/>
        </w:rPr>
      </w:pPr>
    </w:p>
    <w:p w14:paraId="25735F48" w14:textId="7791A86D" w:rsidR="00C4777F" w:rsidRPr="00345354" w:rsidRDefault="00C07EF6" w:rsidP="00E32D97">
      <w:pPr>
        <w:spacing w:after="0" w:line="240" w:lineRule="auto"/>
        <w:ind w:left="1985" w:hanging="709"/>
        <w:jc w:val="both"/>
        <w:rPr>
          <w:rFonts w:ascii="Arial" w:hAnsi="Arial" w:cs="Arial"/>
          <w:lang w:val="en-US"/>
        </w:rPr>
      </w:pPr>
      <w:r w:rsidRPr="00345354">
        <w:rPr>
          <w:rFonts w:ascii="Arial" w:hAnsi="Arial" w:cs="Arial"/>
          <w:lang w:val="en-US"/>
        </w:rPr>
        <w:t>2.2.3.</w:t>
      </w:r>
      <w:r w:rsidR="009B1DA8">
        <w:rPr>
          <w:rFonts w:ascii="Arial" w:hAnsi="Arial" w:cs="Arial"/>
          <w:lang w:val="en-US"/>
        </w:rPr>
        <w:tab/>
      </w:r>
      <w:r w:rsidR="00C4777F" w:rsidRPr="00345354">
        <w:rPr>
          <w:rFonts w:ascii="Arial" w:hAnsi="Arial" w:cs="Arial"/>
          <w:lang w:val="en-US"/>
        </w:rPr>
        <w:t xml:space="preserve">Sources of capital strengthening. Capacity to </w:t>
      </w:r>
      <w:r w:rsidR="002F4B47">
        <w:rPr>
          <w:rFonts w:ascii="Arial" w:hAnsi="Arial" w:cs="Arial"/>
          <w:lang w:val="en-US"/>
        </w:rPr>
        <w:t>generate</w:t>
      </w:r>
      <w:r w:rsidR="00C4777F" w:rsidRPr="00345354">
        <w:rPr>
          <w:rFonts w:ascii="Arial" w:hAnsi="Arial" w:cs="Arial"/>
          <w:lang w:val="en-US"/>
        </w:rPr>
        <w:t xml:space="preserve"> capital funds and capital quality, a diagnosis </w:t>
      </w:r>
      <w:r w:rsidR="002F4B47">
        <w:rPr>
          <w:rFonts w:ascii="Arial" w:hAnsi="Arial" w:cs="Arial"/>
          <w:lang w:val="en-US"/>
        </w:rPr>
        <w:t>must be made of</w:t>
      </w:r>
      <w:r w:rsidR="00C4777F" w:rsidRPr="00345354">
        <w:rPr>
          <w:rFonts w:ascii="Arial" w:hAnsi="Arial" w:cs="Arial"/>
          <w:lang w:val="en-US"/>
        </w:rPr>
        <w:t xml:space="preserve">: the bank’s </w:t>
      </w:r>
      <w:r w:rsidR="002F4B47">
        <w:rPr>
          <w:rFonts w:ascii="Arial" w:hAnsi="Arial" w:cs="Arial"/>
          <w:lang w:val="en-US"/>
        </w:rPr>
        <w:t xml:space="preserve">ability </w:t>
      </w:r>
      <w:r w:rsidR="00C4777F" w:rsidRPr="00345354">
        <w:rPr>
          <w:rFonts w:ascii="Arial" w:hAnsi="Arial" w:cs="Arial"/>
          <w:lang w:val="en-US"/>
        </w:rPr>
        <w:t xml:space="preserve">to generate results, the latest revenue reinvestment policy, the shareholder’s </w:t>
      </w:r>
      <w:r w:rsidR="002F4B47">
        <w:rPr>
          <w:rFonts w:ascii="Arial" w:hAnsi="Arial" w:cs="Arial"/>
          <w:lang w:val="en-US"/>
        </w:rPr>
        <w:t xml:space="preserve">ability </w:t>
      </w:r>
      <w:r w:rsidR="00C4777F" w:rsidRPr="00345354">
        <w:rPr>
          <w:rFonts w:ascii="Arial" w:hAnsi="Arial" w:cs="Arial"/>
          <w:lang w:val="en-US"/>
        </w:rPr>
        <w:t>to make capital contributi</w:t>
      </w:r>
      <w:r w:rsidR="002F4B47">
        <w:rPr>
          <w:rFonts w:ascii="Arial" w:hAnsi="Arial" w:cs="Arial"/>
          <w:lang w:val="en-US"/>
        </w:rPr>
        <w:t xml:space="preserve">ons; and the degree of access to other </w:t>
      </w:r>
      <w:r w:rsidR="00C4777F" w:rsidRPr="00345354">
        <w:rPr>
          <w:rFonts w:ascii="Arial" w:hAnsi="Arial" w:cs="Arial"/>
          <w:lang w:val="en-US"/>
        </w:rPr>
        <w:t>sources</w:t>
      </w:r>
      <w:r w:rsidR="002F4B47">
        <w:rPr>
          <w:rFonts w:ascii="Arial" w:hAnsi="Arial" w:cs="Arial"/>
          <w:lang w:val="en-US"/>
        </w:rPr>
        <w:t xml:space="preserve"> of capital</w:t>
      </w:r>
      <w:r w:rsidR="00C4777F" w:rsidRPr="00345354">
        <w:rPr>
          <w:rFonts w:ascii="Arial" w:hAnsi="Arial" w:cs="Arial"/>
          <w:lang w:val="en-US"/>
        </w:rPr>
        <w:t>. Additionally, the bank should make an analysis of the capital quality, both of that registered to date and t</w:t>
      </w:r>
      <w:r w:rsidR="005B797F">
        <w:rPr>
          <w:rFonts w:ascii="Arial" w:hAnsi="Arial" w:cs="Arial"/>
          <w:lang w:val="en-US"/>
        </w:rPr>
        <w:t xml:space="preserve">hat </w:t>
      </w:r>
      <w:r w:rsidR="00C4777F" w:rsidRPr="00345354">
        <w:rPr>
          <w:rFonts w:ascii="Arial" w:hAnsi="Arial" w:cs="Arial"/>
          <w:lang w:val="en-US"/>
        </w:rPr>
        <w:t>projected (</w:t>
      </w:r>
      <w:r w:rsidR="005B797F">
        <w:rPr>
          <w:rFonts w:ascii="Arial" w:hAnsi="Arial" w:cs="Arial"/>
          <w:lang w:val="en-US"/>
        </w:rPr>
        <w:t xml:space="preserve">how much is </w:t>
      </w:r>
      <w:r w:rsidR="00C4777F" w:rsidRPr="00345354">
        <w:rPr>
          <w:rFonts w:ascii="Arial" w:hAnsi="Arial" w:cs="Arial"/>
          <w:lang w:val="en-US"/>
        </w:rPr>
        <w:t>common tier 1 capital, additional common capital, tier 2 capital and dynamic provisions), emphasizing on the</w:t>
      </w:r>
      <w:r w:rsidR="005B797F">
        <w:rPr>
          <w:rFonts w:ascii="Arial" w:hAnsi="Arial" w:cs="Arial"/>
          <w:lang w:val="en-US"/>
        </w:rPr>
        <w:t xml:space="preserve"> capacity to absorb</w:t>
      </w:r>
      <w:r w:rsidR="00C4777F" w:rsidRPr="00345354">
        <w:rPr>
          <w:rFonts w:ascii="Arial" w:hAnsi="Arial" w:cs="Arial"/>
          <w:lang w:val="en-US"/>
        </w:rPr>
        <w:t xml:space="preserve"> unexpected loss</w:t>
      </w:r>
      <w:r w:rsidR="005B797F">
        <w:rPr>
          <w:rFonts w:ascii="Arial" w:hAnsi="Arial" w:cs="Arial"/>
          <w:lang w:val="en-US"/>
        </w:rPr>
        <w:t>es</w:t>
      </w:r>
      <w:r w:rsidR="00C4777F" w:rsidRPr="00345354">
        <w:rPr>
          <w:rFonts w:ascii="Arial" w:hAnsi="Arial" w:cs="Arial"/>
          <w:lang w:val="en-US"/>
        </w:rPr>
        <w:t xml:space="preserve"> of capital funds, both </w:t>
      </w:r>
      <w:r w:rsidR="005B797F">
        <w:rPr>
          <w:rFonts w:ascii="Arial" w:hAnsi="Arial" w:cs="Arial"/>
          <w:lang w:val="en-US"/>
        </w:rPr>
        <w:t xml:space="preserve">under the concept of </w:t>
      </w:r>
      <w:r w:rsidR="00C4777F" w:rsidRPr="00345354">
        <w:rPr>
          <w:rFonts w:ascii="Arial" w:hAnsi="Arial" w:cs="Arial"/>
          <w:lang w:val="en-US"/>
        </w:rPr>
        <w:t xml:space="preserve">as a running business and as a business under liquidation. </w:t>
      </w:r>
      <w:r w:rsidR="00C4777F" w:rsidRPr="00345354">
        <w:rPr>
          <w:rFonts w:ascii="Arial" w:hAnsi="Arial" w:cs="Arial"/>
          <w:b/>
          <w:lang w:val="en-US"/>
        </w:rPr>
        <w:t xml:space="preserve">(See </w:t>
      </w:r>
      <w:r w:rsidR="00D51FDA">
        <w:rPr>
          <w:rFonts w:ascii="Arial" w:hAnsi="Arial" w:cs="Arial"/>
          <w:b/>
          <w:lang w:val="en-US"/>
        </w:rPr>
        <w:t>Annex</w:t>
      </w:r>
      <w:r w:rsidR="00C4777F" w:rsidRPr="00345354">
        <w:rPr>
          <w:rFonts w:ascii="Arial" w:hAnsi="Arial" w:cs="Arial"/>
          <w:b/>
          <w:lang w:val="en-US"/>
        </w:rPr>
        <w:t xml:space="preserve"> 1, paragraph III)</w:t>
      </w:r>
      <w:r w:rsidR="00C4777F" w:rsidRPr="00345354">
        <w:rPr>
          <w:rFonts w:ascii="Arial" w:hAnsi="Arial" w:cs="Arial"/>
          <w:lang w:val="en-US"/>
        </w:rPr>
        <w:t>.</w:t>
      </w:r>
    </w:p>
    <w:p w14:paraId="4D7F4A3D" w14:textId="77777777" w:rsidR="00C4777F" w:rsidRPr="00345354" w:rsidRDefault="00C4777F" w:rsidP="00E32D97">
      <w:pPr>
        <w:spacing w:after="0" w:line="240" w:lineRule="auto"/>
        <w:ind w:left="1985" w:hanging="709"/>
        <w:jc w:val="both"/>
        <w:rPr>
          <w:rFonts w:ascii="Arial" w:hAnsi="Arial" w:cs="Arial"/>
          <w:lang w:val="en-US"/>
        </w:rPr>
      </w:pPr>
    </w:p>
    <w:p w14:paraId="045EB3B1" w14:textId="0FF928B1" w:rsidR="00C4777F" w:rsidRPr="00345354" w:rsidRDefault="005814B9" w:rsidP="00E32D97">
      <w:pPr>
        <w:spacing w:after="0" w:line="240" w:lineRule="auto"/>
        <w:ind w:left="1985" w:hanging="709"/>
        <w:jc w:val="both"/>
        <w:rPr>
          <w:rFonts w:ascii="Arial" w:hAnsi="Arial" w:cs="Arial"/>
          <w:b/>
          <w:lang w:val="en-US"/>
        </w:rPr>
      </w:pPr>
      <w:r w:rsidRPr="00345354">
        <w:rPr>
          <w:rFonts w:ascii="Arial" w:hAnsi="Arial" w:cs="Arial"/>
          <w:lang w:val="en-US"/>
        </w:rPr>
        <w:t xml:space="preserve">2.2.4. </w:t>
      </w:r>
      <w:r w:rsidR="00E32D97" w:rsidRPr="00345354">
        <w:rPr>
          <w:rFonts w:ascii="Arial" w:hAnsi="Arial" w:cs="Arial"/>
          <w:lang w:val="en-US"/>
        </w:rPr>
        <w:t xml:space="preserve"> </w:t>
      </w:r>
      <w:r w:rsidR="00C4777F" w:rsidRPr="00345354">
        <w:rPr>
          <w:rFonts w:ascii="Arial" w:hAnsi="Arial" w:cs="Arial"/>
          <w:lang w:val="en-US"/>
        </w:rPr>
        <w:tab/>
        <w:t xml:space="preserve">Adding Capital requirements and determining Capital Adequacy Ratios, </w:t>
      </w:r>
      <w:r w:rsidR="00E76760">
        <w:rPr>
          <w:rFonts w:ascii="Arial" w:hAnsi="Arial" w:cs="Arial"/>
          <w:lang w:val="en-US"/>
        </w:rPr>
        <w:t xml:space="preserve">the </w:t>
      </w:r>
      <w:r w:rsidR="00C4777F" w:rsidRPr="00345354">
        <w:rPr>
          <w:rFonts w:ascii="Arial" w:hAnsi="Arial" w:cs="Arial"/>
          <w:lang w:val="en-US"/>
        </w:rPr>
        <w:t>capital requirements generated by risks</w:t>
      </w:r>
      <w:r w:rsidR="00E76760">
        <w:rPr>
          <w:rFonts w:ascii="Arial" w:hAnsi="Arial" w:cs="Arial"/>
          <w:lang w:val="en-US"/>
        </w:rPr>
        <w:t xml:space="preserve"> are projected</w:t>
      </w:r>
      <w:r w:rsidR="00C4777F" w:rsidRPr="00345354">
        <w:rPr>
          <w:rFonts w:ascii="Arial" w:hAnsi="Arial" w:cs="Arial"/>
          <w:lang w:val="en-US"/>
        </w:rPr>
        <w:t xml:space="preserve"> along with capital funds for a three-year period. The </w:t>
      </w:r>
      <w:r w:rsidR="00E76760">
        <w:rPr>
          <w:rFonts w:ascii="Arial" w:hAnsi="Arial" w:cs="Arial"/>
          <w:lang w:val="en-US"/>
        </w:rPr>
        <w:t>Target</w:t>
      </w:r>
      <w:r w:rsidR="00C4777F" w:rsidRPr="00345354">
        <w:rPr>
          <w:rFonts w:ascii="Arial" w:hAnsi="Arial" w:cs="Arial"/>
          <w:lang w:val="en-US"/>
        </w:rPr>
        <w:t xml:space="preserve"> Capital Adequacy ratio is the one </w:t>
      </w:r>
      <w:r w:rsidR="00E76760">
        <w:rPr>
          <w:rFonts w:ascii="Arial" w:hAnsi="Arial" w:cs="Arial"/>
          <w:lang w:val="en-US"/>
        </w:rPr>
        <w:t>that the bank</w:t>
      </w:r>
      <w:r w:rsidR="00C4777F" w:rsidRPr="00345354">
        <w:rPr>
          <w:rFonts w:ascii="Arial" w:hAnsi="Arial" w:cs="Arial"/>
          <w:lang w:val="en-US"/>
        </w:rPr>
        <w:t xml:space="preserve"> deems it permits it to meet its strategic objectives and</w:t>
      </w:r>
      <w:r w:rsidR="00E76760">
        <w:rPr>
          <w:rFonts w:ascii="Arial" w:hAnsi="Arial" w:cs="Arial"/>
          <w:lang w:val="en-US"/>
        </w:rPr>
        <w:t>,</w:t>
      </w:r>
      <w:r w:rsidR="00C4777F" w:rsidRPr="00345354">
        <w:rPr>
          <w:rFonts w:ascii="Arial" w:hAnsi="Arial" w:cs="Arial"/>
          <w:lang w:val="en-US"/>
        </w:rPr>
        <w:t xml:space="preserve"> at the same time</w:t>
      </w:r>
      <w:r w:rsidR="00E76760">
        <w:rPr>
          <w:rFonts w:ascii="Arial" w:hAnsi="Arial" w:cs="Arial"/>
          <w:lang w:val="en-US"/>
        </w:rPr>
        <w:t>,</w:t>
      </w:r>
      <w:r w:rsidR="00C4777F" w:rsidRPr="00345354">
        <w:rPr>
          <w:rFonts w:ascii="Arial" w:hAnsi="Arial" w:cs="Arial"/>
          <w:lang w:val="en-US"/>
        </w:rPr>
        <w:t xml:space="preserve"> gives the bank enough room to </w:t>
      </w:r>
      <w:r w:rsidR="00E76760">
        <w:rPr>
          <w:rFonts w:ascii="Arial" w:hAnsi="Arial" w:cs="Arial"/>
          <w:lang w:val="en-US"/>
        </w:rPr>
        <w:t>withstand</w:t>
      </w:r>
      <w:r w:rsidR="00C4777F" w:rsidRPr="00345354">
        <w:rPr>
          <w:rFonts w:ascii="Arial" w:hAnsi="Arial" w:cs="Arial"/>
          <w:lang w:val="en-US"/>
        </w:rPr>
        <w:t xml:space="preserve"> negative macroeconomic or business environments. The </w:t>
      </w:r>
      <w:r w:rsidR="00E76760">
        <w:rPr>
          <w:rFonts w:ascii="Arial" w:hAnsi="Arial" w:cs="Arial"/>
          <w:lang w:val="en-US"/>
        </w:rPr>
        <w:t>Target</w:t>
      </w:r>
      <w:r w:rsidR="00C4777F" w:rsidRPr="00345354">
        <w:rPr>
          <w:rFonts w:ascii="Arial" w:hAnsi="Arial" w:cs="Arial"/>
          <w:lang w:val="en-US"/>
        </w:rPr>
        <w:t xml:space="preserve"> Capital Adequacy ratio takes into account the bank’s risk appetite in the different business lines, an aspect that should be included in the bank’s strategic plan. </w:t>
      </w:r>
      <w:r w:rsidR="00C4777F" w:rsidRPr="00345354">
        <w:rPr>
          <w:rFonts w:ascii="Arial" w:hAnsi="Arial" w:cs="Arial"/>
          <w:b/>
          <w:lang w:val="en-US"/>
        </w:rPr>
        <w:t xml:space="preserve">(See </w:t>
      </w:r>
      <w:r w:rsidR="00D51FDA">
        <w:rPr>
          <w:rFonts w:ascii="Arial" w:hAnsi="Arial" w:cs="Arial"/>
          <w:b/>
          <w:lang w:val="en-US"/>
        </w:rPr>
        <w:t>Annex</w:t>
      </w:r>
      <w:r w:rsidR="00C4777F" w:rsidRPr="00345354">
        <w:rPr>
          <w:rFonts w:ascii="Arial" w:hAnsi="Arial" w:cs="Arial"/>
          <w:b/>
          <w:lang w:val="en-US"/>
        </w:rPr>
        <w:t xml:space="preserve"> 1, paragraph IV)</w:t>
      </w:r>
    </w:p>
    <w:p w14:paraId="5E0A0DBD" w14:textId="77777777" w:rsidR="009A0419" w:rsidRPr="00345354" w:rsidRDefault="009A0419" w:rsidP="004D4950">
      <w:pPr>
        <w:spacing w:after="0" w:line="240" w:lineRule="auto"/>
        <w:ind w:left="1080" w:firstLine="336"/>
        <w:jc w:val="both"/>
        <w:rPr>
          <w:rFonts w:ascii="Arial" w:hAnsi="Arial" w:cs="Arial"/>
          <w:lang w:val="en-US"/>
        </w:rPr>
      </w:pPr>
    </w:p>
    <w:p w14:paraId="42BDE653" w14:textId="72FB527F" w:rsidR="002770F6" w:rsidRPr="00345354" w:rsidRDefault="00C4777F" w:rsidP="00E32D97">
      <w:pPr>
        <w:spacing w:after="0" w:line="240" w:lineRule="auto"/>
        <w:ind w:left="1134" w:hanging="567"/>
        <w:jc w:val="both"/>
        <w:rPr>
          <w:rFonts w:ascii="Arial" w:hAnsi="Arial" w:cs="Arial"/>
          <w:b/>
          <w:lang w:val="en-US"/>
        </w:rPr>
      </w:pPr>
      <w:r w:rsidRPr="00345354">
        <w:rPr>
          <w:rFonts w:ascii="Arial" w:hAnsi="Arial" w:cs="Arial"/>
          <w:b/>
          <w:lang w:val="en-US"/>
        </w:rPr>
        <w:t>2.3.</w:t>
      </w:r>
      <w:r w:rsidRPr="00345354">
        <w:rPr>
          <w:rFonts w:ascii="Arial" w:hAnsi="Arial" w:cs="Arial"/>
          <w:b/>
          <w:lang w:val="en-US"/>
        </w:rPr>
        <w:tab/>
        <w:t xml:space="preserve">Stress-testing </w:t>
      </w:r>
    </w:p>
    <w:p w14:paraId="0BC36439" w14:textId="77777777" w:rsidR="00E76760" w:rsidRDefault="00E76760" w:rsidP="00E32D97">
      <w:pPr>
        <w:spacing w:after="0" w:line="240" w:lineRule="auto"/>
        <w:ind w:left="1985" w:hanging="851"/>
        <w:jc w:val="both"/>
        <w:rPr>
          <w:rFonts w:ascii="Arial" w:hAnsi="Arial" w:cs="Arial"/>
          <w:lang w:val="en-US"/>
        </w:rPr>
      </w:pPr>
    </w:p>
    <w:p w14:paraId="2E98C83A" w14:textId="01012278" w:rsidR="00C4777F" w:rsidRPr="00345354" w:rsidRDefault="00A143CF" w:rsidP="00E32D97">
      <w:pPr>
        <w:spacing w:after="0" w:line="240" w:lineRule="auto"/>
        <w:ind w:left="1985" w:hanging="851"/>
        <w:jc w:val="both"/>
        <w:rPr>
          <w:rFonts w:ascii="Arial" w:hAnsi="Arial" w:cs="Arial"/>
          <w:lang w:val="en-US"/>
        </w:rPr>
      </w:pPr>
      <w:r w:rsidRPr="00345354">
        <w:rPr>
          <w:rFonts w:ascii="Arial" w:hAnsi="Arial" w:cs="Arial"/>
          <w:lang w:val="en-US"/>
        </w:rPr>
        <w:t xml:space="preserve">2.3.1. </w:t>
      </w:r>
      <w:r w:rsidR="009E38FD" w:rsidRPr="00345354">
        <w:rPr>
          <w:rFonts w:ascii="Arial" w:hAnsi="Arial" w:cs="Arial"/>
          <w:lang w:val="en-US"/>
        </w:rPr>
        <w:t xml:space="preserve">  </w:t>
      </w:r>
      <w:r w:rsidR="00C4777F" w:rsidRPr="00345354">
        <w:rPr>
          <w:rFonts w:ascii="Arial" w:hAnsi="Arial" w:cs="Arial"/>
          <w:lang w:val="en-US"/>
        </w:rPr>
        <w:t>Assumptions and met</w:t>
      </w:r>
      <w:r w:rsidR="00E76760">
        <w:rPr>
          <w:rFonts w:ascii="Arial" w:hAnsi="Arial" w:cs="Arial"/>
          <w:lang w:val="en-US"/>
        </w:rPr>
        <w:t>hodology should identify severe but plausible shocks that limit th</w:t>
      </w:r>
      <w:r w:rsidR="00C4777F" w:rsidRPr="00345354">
        <w:rPr>
          <w:rFonts w:ascii="Arial" w:hAnsi="Arial" w:cs="Arial"/>
          <w:lang w:val="en-US"/>
        </w:rPr>
        <w:t xml:space="preserve">e regular </w:t>
      </w:r>
      <w:r w:rsidR="00E76760">
        <w:rPr>
          <w:rFonts w:ascii="Arial" w:hAnsi="Arial" w:cs="Arial"/>
          <w:lang w:val="en-US"/>
        </w:rPr>
        <w:t>course of business and affect</w:t>
      </w:r>
      <w:r w:rsidR="00C4777F" w:rsidRPr="00345354">
        <w:rPr>
          <w:rFonts w:ascii="Arial" w:hAnsi="Arial" w:cs="Arial"/>
          <w:lang w:val="en-US"/>
        </w:rPr>
        <w:t xml:space="preserve"> its results and its main balance sheet accounts. </w:t>
      </w:r>
      <w:r w:rsidR="008F7318" w:rsidRPr="00345354">
        <w:rPr>
          <w:rFonts w:ascii="Arial" w:hAnsi="Arial" w:cs="Arial"/>
          <w:lang w:val="en-US"/>
        </w:rPr>
        <w:t xml:space="preserve">The shocks </w:t>
      </w:r>
      <w:r w:rsidR="00E76760">
        <w:rPr>
          <w:rFonts w:ascii="Arial" w:hAnsi="Arial" w:cs="Arial"/>
          <w:lang w:val="en-US"/>
        </w:rPr>
        <w:t>must</w:t>
      </w:r>
      <w:r w:rsidR="008F7318" w:rsidRPr="00345354">
        <w:rPr>
          <w:rFonts w:ascii="Arial" w:hAnsi="Arial" w:cs="Arial"/>
          <w:lang w:val="en-US"/>
        </w:rPr>
        <w:t xml:space="preserve"> be those related to an economy like the Panamanian</w:t>
      </w:r>
      <w:r w:rsidR="00E76760">
        <w:rPr>
          <w:rFonts w:ascii="Arial" w:hAnsi="Arial" w:cs="Arial"/>
          <w:lang w:val="en-US"/>
        </w:rPr>
        <w:t xml:space="preserve"> that generate</w:t>
      </w:r>
      <w:r w:rsidR="008F7318" w:rsidRPr="00345354">
        <w:rPr>
          <w:rFonts w:ascii="Arial" w:hAnsi="Arial" w:cs="Arial"/>
          <w:lang w:val="en-US"/>
        </w:rPr>
        <w:t xml:space="preserve"> great impact to the International Banking Center. The objective of stress-testing is to identify vulne</w:t>
      </w:r>
      <w:r w:rsidR="00E76760">
        <w:rPr>
          <w:rFonts w:ascii="Arial" w:hAnsi="Arial" w:cs="Arial"/>
          <w:lang w:val="en-US"/>
        </w:rPr>
        <w:t>rabilities and risk exposures that</w:t>
      </w:r>
      <w:r w:rsidR="008F7318" w:rsidRPr="00345354">
        <w:rPr>
          <w:rFonts w:ascii="Arial" w:hAnsi="Arial" w:cs="Arial"/>
          <w:lang w:val="en-US"/>
        </w:rPr>
        <w:t xml:space="preserve"> drastically</w:t>
      </w:r>
      <w:r w:rsidR="00E76760">
        <w:rPr>
          <w:rFonts w:ascii="Arial" w:hAnsi="Arial" w:cs="Arial"/>
          <w:lang w:val="en-US"/>
        </w:rPr>
        <w:t xml:space="preserve"> affect</w:t>
      </w:r>
      <w:r w:rsidR="008F7318" w:rsidRPr="00345354">
        <w:rPr>
          <w:rFonts w:ascii="Arial" w:hAnsi="Arial" w:cs="Arial"/>
          <w:lang w:val="en-US"/>
        </w:rPr>
        <w:t xml:space="preserve"> t</w:t>
      </w:r>
      <w:r w:rsidR="00E76760">
        <w:rPr>
          <w:rFonts w:ascii="Arial" w:hAnsi="Arial" w:cs="Arial"/>
          <w:lang w:val="en-US"/>
        </w:rPr>
        <w:t xml:space="preserve">he profitability, liquidity or </w:t>
      </w:r>
      <w:r w:rsidR="008F7318" w:rsidRPr="00345354">
        <w:rPr>
          <w:rFonts w:ascii="Arial" w:hAnsi="Arial" w:cs="Arial"/>
          <w:lang w:val="en-US"/>
        </w:rPr>
        <w:t xml:space="preserve">solvency. </w:t>
      </w:r>
      <w:r w:rsidR="005B1D2E" w:rsidRPr="00345354">
        <w:rPr>
          <w:rFonts w:ascii="Arial" w:hAnsi="Arial" w:cs="Arial"/>
          <w:lang w:val="en-US"/>
        </w:rPr>
        <w:t>Examp</w:t>
      </w:r>
      <w:r w:rsidR="009E1C5F" w:rsidRPr="00345354">
        <w:rPr>
          <w:rFonts w:ascii="Arial" w:hAnsi="Arial" w:cs="Arial"/>
          <w:lang w:val="en-US"/>
        </w:rPr>
        <w:t xml:space="preserve">les of stress-testing scenarios: domestic or international recession; political, social or economic crisis; deterioration of a specific key economic sector; simultaneous fall </w:t>
      </w:r>
      <w:r w:rsidR="00E76760">
        <w:rPr>
          <w:rFonts w:ascii="Arial" w:hAnsi="Arial" w:cs="Arial"/>
          <w:lang w:val="en-US"/>
        </w:rPr>
        <w:t>in</w:t>
      </w:r>
      <w:r w:rsidR="009E1C5F" w:rsidRPr="00345354">
        <w:rPr>
          <w:rFonts w:ascii="Arial" w:hAnsi="Arial" w:cs="Arial"/>
          <w:lang w:val="en-US"/>
        </w:rPr>
        <w:t xml:space="preserve"> stock markets; severe operational problems; liquidity crisis; reputational crisis (of the bank or the country). </w:t>
      </w:r>
    </w:p>
    <w:p w14:paraId="618CFF05" w14:textId="77777777" w:rsidR="009E1C5F" w:rsidRPr="00345354" w:rsidRDefault="009E1C5F" w:rsidP="00E32D97">
      <w:pPr>
        <w:spacing w:after="0" w:line="240" w:lineRule="auto"/>
        <w:ind w:left="1985" w:hanging="851"/>
        <w:jc w:val="both"/>
        <w:rPr>
          <w:rFonts w:ascii="Arial" w:hAnsi="Arial" w:cs="Arial"/>
          <w:lang w:val="en-US"/>
        </w:rPr>
      </w:pPr>
    </w:p>
    <w:p w14:paraId="792047F7" w14:textId="21A559CC" w:rsidR="009E1C5F" w:rsidRPr="00345354" w:rsidRDefault="009E1C5F" w:rsidP="00E32D97">
      <w:pPr>
        <w:spacing w:after="0" w:line="240" w:lineRule="auto"/>
        <w:ind w:left="1985" w:hanging="851"/>
        <w:jc w:val="both"/>
        <w:rPr>
          <w:rFonts w:ascii="Arial" w:hAnsi="Arial" w:cs="Arial"/>
          <w:lang w:val="en-US"/>
        </w:rPr>
      </w:pPr>
      <w:r w:rsidRPr="00345354">
        <w:rPr>
          <w:rFonts w:ascii="Arial" w:hAnsi="Arial" w:cs="Arial"/>
          <w:lang w:val="en-US"/>
        </w:rPr>
        <w:tab/>
        <w:t>Stress-testing must inclu</w:t>
      </w:r>
      <w:r w:rsidR="00296D05">
        <w:rPr>
          <w:rFonts w:ascii="Arial" w:hAnsi="Arial" w:cs="Arial"/>
          <w:lang w:val="en-US"/>
        </w:rPr>
        <w:t>de all relevant assumptions, which</w:t>
      </w:r>
      <w:r w:rsidRPr="00345354">
        <w:rPr>
          <w:rFonts w:ascii="Arial" w:hAnsi="Arial" w:cs="Arial"/>
          <w:lang w:val="en-US"/>
        </w:rPr>
        <w:t xml:space="preserve"> tools were used, such as statistical models, expert models, expert criteria, techniques or methodologies to project credit deterioration, credit growth (or </w:t>
      </w:r>
      <w:r w:rsidR="00296D05">
        <w:rPr>
          <w:rFonts w:ascii="Arial" w:hAnsi="Arial" w:cs="Arial"/>
          <w:lang w:val="en-US"/>
        </w:rPr>
        <w:t>reduction</w:t>
      </w:r>
      <w:r w:rsidRPr="00345354">
        <w:rPr>
          <w:rFonts w:ascii="Arial" w:hAnsi="Arial" w:cs="Arial"/>
          <w:lang w:val="en-US"/>
        </w:rPr>
        <w:t>), transmission channels through which the stress</w:t>
      </w:r>
      <w:r w:rsidR="00296D05">
        <w:rPr>
          <w:rFonts w:ascii="Arial" w:hAnsi="Arial" w:cs="Arial"/>
          <w:lang w:val="en-US"/>
        </w:rPr>
        <w:t xml:space="preserve"> scenario </w:t>
      </w:r>
      <w:r w:rsidRPr="00345354">
        <w:rPr>
          <w:rFonts w:ascii="Arial" w:hAnsi="Arial" w:cs="Arial"/>
          <w:lang w:val="en-US"/>
        </w:rPr>
        <w:t xml:space="preserve">is affecting the bank’s </w:t>
      </w:r>
      <w:r w:rsidR="00296D05">
        <w:rPr>
          <w:rFonts w:ascii="Arial" w:hAnsi="Arial" w:cs="Arial"/>
          <w:lang w:val="en-US"/>
        </w:rPr>
        <w:t>income statement</w:t>
      </w:r>
      <w:r w:rsidRPr="00345354">
        <w:rPr>
          <w:rFonts w:ascii="Arial" w:hAnsi="Arial" w:cs="Arial"/>
          <w:lang w:val="en-US"/>
        </w:rPr>
        <w:t xml:space="preserve"> and solvency. </w:t>
      </w:r>
    </w:p>
    <w:p w14:paraId="13E84F3D" w14:textId="77777777" w:rsidR="009E1C5F" w:rsidRPr="00345354" w:rsidRDefault="009E1C5F" w:rsidP="00E32D97">
      <w:pPr>
        <w:spacing w:after="0" w:line="240" w:lineRule="auto"/>
        <w:ind w:left="1985" w:hanging="851"/>
        <w:jc w:val="both"/>
        <w:rPr>
          <w:rFonts w:ascii="Arial" w:hAnsi="Arial" w:cs="Arial"/>
          <w:lang w:val="en-US"/>
        </w:rPr>
      </w:pPr>
    </w:p>
    <w:p w14:paraId="523486E4" w14:textId="1C54FB6E" w:rsidR="009E1C5F" w:rsidRPr="00345354" w:rsidRDefault="009E1C5F" w:rsidP="00E32D97">
      <w:pPr>
        <w:spacing w:after="0" w:line="240" w:lineRule="auto"/>
        <w:ind w:left="1985" w:hanging="851"/>
        <w:jc w:val="both"/>
        <w:rPr>
          <w:rFonts w:ascii="Arial" w:hAnsi="Arial" w:cs="Arial"/>
          <w:lang w:val="en-US"/>
        </w:rPr>
      </w:pPr>
      <w:r w:rsidRPr="00345354">
        <w:rPr>
          <w:rFonts w:ascii="Arial" w:hAnsi="Arial" w:cs="Arial"/>
          <w:lang w:val="en-US"/>
        </w:rPr>
        <w:lastRenderedPageBreak/>
        <w:tab/>
        <w:t>As an initial stress-testing scenario, banks should include at least the following variables, being able to add other variables or making shocks more severe:</w:t>
      </w:r>
    </w:p>
    <w:p w14:paraId="6702EF0F" w14:textId="77777777" w:rsidR="009E38FD" w:rsidRPr="00345354" w:rsidRDefault="009E38FD" w:rsidP="009E38FD">
      <w:pPr>
        <w:spacing w:after="0" w:line="240" w:lineRule="auto"/>
        <w:ind w:left="2127" w:hanging="3"/>
        <w:jc w:val="both"/>
        <w:rPr>
          <w:rFonts w:ascii="Arial" w:hAnsi="Arial" w:cs="Arial"/>
          <w:lang w:val="en-US"/>
        </w:rPr>
      </w:pPr>
    </w:p>
    <w:tbl>
      <w:tblPr>
        <w:tblStyle w:val="Tablaconcuadrcula"/>
        <w:tblW w:w="0" w:type="auto"/>
        <w:tblInd w:w="1044" w:type="dxa"/>
        <w:tblLook w:val="04A0" w:firstRow="1" w:lastRow="0" w:firstColumn="1" w:lastColumn="0" w:noHBand="0" w:noVBand="1"/>
      </w:tblPr>
      <w:tblGrid>
        <w:gridCol w:w="5259"/>
        <w:gridCol w:w="842"/>
        <w:gridCol w:w="841"/>
        <w:gridCol w:w="842"/>
      </w:tblGrid>
      <w:tr w:rsidR="00836237" w:rsidRPr="00345354" w14:paraId="0A4924FD" w14:textId="77777777" w:rsidTr="009E1C5F">
        <w:tc>
          <w:tcPr>
            <w:tcW w:w="5443" w:type="dxa"/>
            <w:vAlign w:val="center"/>
          </w:tcPr>
          <w:p w14:paraId="7699F9B3" w14:textId="1395A89E" w:rsidR="00B90F5C" w:rsidRPr="0097767A" w:rsidRDefault="009E1C5F" w:rsidP="009E1C5F">
            <w:pPr>
              <w:jc w:val="center"/>
              <w:rPr>
                <w:rFonts w:ascii="Arial" w:hAnsi="Arial" w:cs="Arial"/>
                <w:b/>
                <w:lang w:val="en-US"/>
              </w:rPr>
            </w:pPr>
            <w:r w:rsidRPr="0097767A">
              <w:rPr>
                <w:rFonts w:ascii="Arial" w:hAnsi="Arial" w:cs="Arial"/>
                <w:b/>
                <w:lang w:val="en-US"/>
              </w:rPr>
              <w:t>Macroeconomic variables</w:t>
            </w:r>
          </w:p>
        </w:tc>
        <w:tc>
          <w:tcPr>
            <w:tcW w:w="851" w:type="dxa"/>
            <w:vAlign w:val="center"/>
          </w:tcPr>
          <w:p w14:paraId="0C0D3BCC" w14:textId="090095B3" w:rsidR="00B90F5C" w:rsidRPr="0097767A" w:rsidRDefault="009E1C5F" w:rsidP="009E1C5F">
            <w:pPr>
              <w:jc w:val="center"/>
              <w:rPr>
                <w:rFonts w:ascii="Arial" w:hAnsi="Arial" w:cs="Arial"/>
                <w:b/>
                <w:lang w:val="en-US"/>
              </w:rPr>
            </w:pPr>
            <w:r w:rsidRPr="0097767A">
              <w:rPr>
                <w:rFonts w:ascii="Arial" w:hAnsi="Arial" w:cs="Arial"/>
                <w:b/>
                <w:lang w:val="en-US"/>
              </w:rPr>
              <w:t>1</w:t>
            </w:r>
            <w:r w:rsidRPr="0097767A">
              <w:rPr>
                <w:rFonts w:ascii="Arial" w:hAnsi="Arial" w:cs="Arial"/>
                <w:b/>
                <w:vertAlign w:val="superscript"/>
                <w:lang w:val="en-US"/>
              </w:rPr>
              <w:t>st</w:t>
            </w:r>
            <w:r w:rsidRPr="0097767A">
              <w:rPr>
                <w:rFonts w:ascii="Arial" w:hAnsi="Arial" w:cs="Arial"/>
                <w:b/>
                <w:lang w:val="en-US"/>
              </w:rPr>
              <w:t xml:space="preserve"> year</w:t>
            </w:r>
          </w:p>
        </w:tc>
        <w:tc>
          <w:tcPr>
            <w:tcW w:w="850" w:type="dxa"/>
            <w:vAlign w:val="center"/>
          </w:tcPr>
          <w:p w14:paraId="72BBA6A5" w14:textId="1FD6FAD4" w:rsidR="00B90F5C" w:rsidRPr="0097767A" w:rsidRDefault="009E1C5F" w:rsidP="009E1C5F">
            <w:pPr>
              <w:jc w:val="center"/>
              <w:rPr>
                <w:rFonts w:ascii="Arial" w:hAnsi="Arial" w:cs="Arial"/>
                <w:b/>
                <w:lang w:val="en-US"/>
              </w:rPr>
            </w:pPr>
            <w:r w:rsidRPr="0097767A">
              <w:rPr>
                <w:rFonts w:ascii="Arial" w:hAnsi="Arial" w:cs="Arial"/>
                <w:b/>
                <w:lang w:val="en-US"/>
              </w:rPr>
              <w:t>2</w:t>
            </w:r>
            <w:r w:rsidRPr="0097767A">
              <w:rPr>
                <w:rFonts w:ascii="Arial" w:hAnsi="Arial" w:cs="Arial"/>
                <w:b/>
                <w:vertAlign w:val="superscript"/>
                <w:lang w:val="en-US"/>
              </w:rPr>
              <w:t>nd</w:t>
            </w:r>
            <w:r w:rsidRPr="0097767A">
              <w:rPr>
                <w:rFonts w:ascii="Arial" w:hAnsi="Arial" w:cs="Arial"/>
                <w:b/>
                <w:lang w:val="en-US"/>
              </w:rPr>
              <w:t xml:space="preserve"> year</w:t>
            </w:r>
          </w:p>
        </w:tc>
        <w:tc>
          <w:tcPr>
            <w:tcW w:w="851" w:type="dxa"/>
            <w:vAlign w:val="center"/>
          </w:tcPr>
          <w:p w14:paraId="23F50838" w14:textId="0AC0E7EA" w:rsidR="00B90F5C" w:rsidRPr="00345354" w:rsidRDefault="009E1C5F" w:rsidP="009E1C5F">
            <w:pPr>
              <w:jc w:val="center"/>
              <w:rPr>
                <w:rFonts w:ascii="Arial" w:hAnsi="Arial" w:cs="Arial"/>
                <w:b/>
                <w:lang w:val="en-US"/>
              </w:rPr>
            </w:pPr>
            <w:r w:rsidRPr="0097767A">
              <w:rPr>
                <w:rFonts w:ascii="Arial" w:hAnsi="Arial" w:cs="Arial"/>
                <w:b/>
                <w:lang w:val="en-US"/>
              </w:rPr>
              <w:t>3</w:t>
            </w:r>
            <w:r w:rsidRPr="0097767A">
              <w:rPr>
                <w:rFonts w:ascii="Arial" w:hAnsi="Arial" w:cs="Arial"/>
                <w:b/>
                <w:vertAlign w:val="superscript"/>
                <w:lang w:val="en-US"/>
              </w:rPr>
              <w:t>rd</w:t>
            </w:r>
            <w:r w:rsidRPr="0097767A">
              <w:rPr>
                <w:rFonts w:ascii="Arial" w:hAnsi="Arial" w:cs="Arial"/>
                <w:b/>
                <w:lang w:val="en-US"/>
              </w:rPr>
              <w:t xml:space="preserve"> year</w:t>
            </w:r>
          </w:p>
        </w:tc>
      </w:tr>
      <w:tr w:rsidR="00836237" w:rsidRPr="00345354" w14:paraId="77ACA403" w14:textId="77777777" w:rsidTr="009E1C5F">
        <w:tc>
          <w:tcPr>
            <w:tcW w:w="5443" w:type="dxa"/>
            <w:vAlign w:val="center"/>
          </w:tcPr>
          <w:p w14:paraId="331CACD1" w14:textId="01CFB4C8" w:rsidR="00B90F5C" w:rsidRPr="00345354" w:rsidRDefault="009E1C5F" w:rsidP="009E1C5F">
            <w:pPr>
              <w:rPr>
                <w:rFonts w:ascii="Arial" w:hAnsi="Arial" w:cs="Arial"/>
                <w:lang w:val="en-US"/>
              </w:rPr>
            </w:pPr>
            <w:r w:rsidRPr="00345354">
              <w:rPr>
                <w:rFonts w:ascii="Arial" w:hAnsi="Arial" w:cs="Arial"/>
                <w:lang w:val="en-US"/>
              </w:rPr>
              <w:t xml:space="preserve">GDP growth </w:t>
            </w:r>
            <w:r w:rsidR="00CB6F07" w:rsidRPr="00345354">
              <w:rPr>
                <w:rFonts w:ascii="Arial" w:hAnsi="Arial" w:cs="Arial"/>
                <w:lang w:val="en-US"/>
              </w:rPr>
              <w:t>%</w:t>
            </w:r>
          </w:p>
        </w:tc>
        <w:tc>
          <w:tcPr>
            <w:tcW w:w="851" w:type="dxa"/>
            <w:vAlign w:val="center"/>
          </w:tcPr>
          <w:p w14:paraId="6E1E9C86" w14:textId="77777777" w:rsidR="00B90F5C" w:rsidRPr="00345354" w:rsidRDefault="00B90F5C" w:rsidP="009E1C5F">
            <w:pPr>
              <w:jc w:val="center"/>
              <w:rPr>
                <w:rFonts w:ascii="Arial" w:hAnsi="Arial" w:cs="Arial"/>
                <w:lang w:val="en-US"/>
              </w:rPr>
            </w:pPr>
          </w:p>
        </w:tc>
        <w:tc>
          <w:tcPr>
            <w:tcW w:w="850" w:type="dxa"/>
            <w:vAlign w:val="center"/>
          </w:tcPr>
          <w:p w14:paraId="2767AF47" w14:textId="77777777" w:rsidR="00B90F5C" w:rsidRPr="00345354" w:rsidRDefault="00B90F5C" w:rsidP="009E1C5F">
            <w:pPr>
              <w:jc w:val="center"/>
              <w:rPr>
                <w:rFonts w:ascii="Arial" w:hAnsi="Arial" w:cs="Arial"/>
                <w:lang w:val="en-US"/>
              </w:rPr>
            </w:pPr>
          </w:p>
        </w:tc>
        <w:tc>
          <w:tcPr>
            <w:tcW w:w="851" w:type="dxa"/>
            <w:vAlign w:val="center"/>
          </w:tcPr>
          <w:p w14:paraId="4FBBEE2A" w14:textId="77777777" w:rsidR="00B90F5C" w:rsidRPr="00345354" w:rsidRDefault="00B90F5C" w:rsidP="009E1C5F">
            <w:pPr>
              <w:jc w:val="center"/>
              <w:rPr>
                <w:rFonts w:ascii="Arial" w:hAnsi="Arial" w:cs="Arial"/>
                <w:lang w:val="en-US"/>
              </w:rPr>
            </w:pPr>
          </w:p>
        </w:tc>
      </w:tr>
      <w:tr w:rsidR="00836237" w:rsidRPr="00345354" w14:paraId="58E15138" w14:textId="77777777" w:rsidTr="009E1C5F">
        <w:tc>
          <w:tcPr>
            <w:tcW w:w="5443" w:type="dxa"/>
            <w:vAlign w:val="center"/>
          </w:tcPr>
          <w:p w14:paraId="351CF05D" w14:textId="05E0B32F" w:rsidR="00B90F5C" w:rsidRPr="00345354" w:rsidRDefault="009E1C5F" w:rsidP="009E1C5F">
            <w:pPr>
              <w:rPr>
                <w:rFonts w:ascii="Arial" w:hAnsi="Arial" w:cs="Arial"/>
                <w:lang w:val="en-US"/>
              </w:rPr>
            </w:pPr>
            <w:r w:rsidRPr="00345354">
              <w:rPr>
                <w:rFonts w:ascii="Arial" w:hAnsi="Arial" w:cs="Arial"/>
                <w:lang w:val="en-US"/>
              </w:rPr>
              <w:t xml:space="preserve">Inflation </w:t>
            </w:r>
            <w:r w:rsidR="00CB6F07" w:rsidRPr="00345354">
              <w:rPr>
                <w:rFonts w:ascii="Arial" w:hAnsi="Arial" w:cs="Arial"/>
                <w:lang w:val="en-US"/>
              </w:rPr>
              <w:t>%</w:t>
            </w:r>
          </w:p>
        </w:tc>
        <w:tc>
          <w:tcPr>
            <w:tcW w:w="851" w:type="dxa"/>
            <w:vAlign w:val="center"/>
          </w:tcPr>
          <w:p w14:paraId="323E0191" w14:textId="77777777" w:rsidR="00B90F5C" w:rsidRPr="00345354" w:rsidRDefault="00B90F5C" w:rsidP="009E1C5F">
            <w:pPr>
              <w:jc w:val="center"/>
              <w:rPr>
                <w:rFonts w:ascii="Arial" w:hAnsi="Arial" w:cs="Arial"/>
                <w:lang w:val="en-US"/>
              </w:rPr>
            </w:pPr>
          </w:p>
        </w:tc>
        <w:tc>
          <w:tcPr>
            <w:tcW w:w="850" w:type="dxa"/>
            <w:vAlign w:val="center"/>
          </w:tcPr>
          <w:p w14:paraId="0FCEF317" w14:textId="77777777" w:rsidR="00B90F5C" w:rsidRPr="00345354" w:rsidRDefault="00B90F5C" w:rsidP="009E1C5F">
            <w:pPr>
              <w:jc w:val="center"/>
              <w:rPr>
                <w:rFonts w:ascii="Arial" w:hAnsi="Arial" w:cs="Arial"/>
                <w:lang w:val="en-US"/>
              </w:rPr>
            </w:pPr>
          </w:p>
        </w:tc>
        <w:tc>
          <w:tcPr>
            <w:tcW w:w="851" w:type="dxa"/>
            <w:vAlign w:val="center"/>
          </w:tcPr>
          <w:p w14:paraId="115083EA" w14:textId="77777777" w:rsidR="00B90F5C" w:rsidRPr="00345354" w:rsidRDefault="00B90F5C" w:rsidP="009E1C5F">
            <w:pPr>
              <w:jc w:val="center"/>
              <w:rPr>
                <w:rFonts w:ascii="Arial" w:hAnsi="Arial" w:cs="Arial"/>
                <w:lang w:val="en-US"/>
              </w:rPr>
            </w:pPr>
          </w:p>
        </w:tc>
      </w:tr>
      <w:tr w:rsidR="00836237" w:rsidRPr="00345354" w14:paraId="24544CBF" w14:textId="77777777" w:rsidTr="009E1C5F">
        <w:tc>
          <w:tcPr>
            <w:tcW w:w="5443" w:type="dxa"/>
            <w:vAlign w:val="center"/>
          </w:tcPr>
          <w:p w14:paraId="6D7AE231" w14:textId="5B081797" w:rsidR="00B90F5C" w:rsidRPr="00345354" w:rsidRDefault="0097767A" w:rsidP="009E1C5F">
            <w:pPr>
              <w:rPr>
                <w:rFonts w:ascii="Arial" w:hAnsi="Arial" w:cs="Arial"/>
                <w:lang w:val="en-US"/>
              </w:rPr>
            </w:pPr>
            <w:r>
              <w:rPr>
                <w:rFonts w:ascii="Arial" w:hAnsi="Arial" w:cs="Arial"/>
                <w:lang w:val="en-US"/>
              </w:rPr>
              <w:t xml:space="preserve">Net exports </w:t>
            </w:r>
          </w:p>
        </w:tc>
        <w:tc>
          <w:tcPr>
            <w:tcW w:w="851" w:type="dxa"/>
            <w:vAlign w:val="center"/>
          </w:tcPr>
          <w:p w14:paraId="1E44681D" w14:textId="77777777" w:rsidR="00B90F5C" w:rsidRPr="00345354" w:rsidRDefault="00B90F5C" w:rsidP="009E1C5F">
            <w:pPr>
              <w:jc w:val="center"/>
              <w:rPr>
                <w:rFonts w:ascii="Arial" w:hAnsi="Arial" w:cs="Arial"/>
                <w:lang w:val="en-US"/>
              </w:rPr>
            </w:pPr>
          </w:p>
        </w:tc>
        <w:tc>
          <w:tcPr>
            <w:tcW w:w="850" w:type="dxa"/>
            <w:vAlign w:val="center"/>
          </w:tcPr>
          <w:p w14:paraId="415AF32E" w14:textId="77777777" w:rsidR="00B90F5C" w:rsidRPr="00345354" w:rsidRDefault="00B90F5C" w:rsidP="009E1C5F">
            <w:pPr>
              <w:jc w:val="center"/>
              <w:rPr>
                <w:rFonts w:ascii="Arial" w:hAnsi="Arial" w:cs="Arial"/>
                <w:lang w:val="en-US"/>
              </w:rPr>
            </w:pPr>
          </w:p>
        </w:tc>
        <w:tc>
          <w:tcPr>
            <w:tcW w:w="851" w:type="dxa"/>
            <w:vAlign w:val="center"/>
          </w:tcPr>
          <w:p w14:paraId="593012F6" w14:textId="77777777" w:rsidR="00B90F5C" w:rsidRPr="00345354" w:rsidRDefault="00B90F5C" w:rsidP="009E1C5F">
            <w:pPr>
              <w:jc w:val="center"/>
              <w:rPr>
                <w:rFonts w:ascii="Arial" w:hAnsi="Arial" w:cs="Arial"/>
                <w:lang w:val="en-US"/>
              </w:rPr>
            </w:pPr>
          </w:p>
        </w:tc>
      </w:tr>
      <w:tr w:rsidR="00836237" w:rsidRPr="0054235D" w14:paraId="33C97EAA" w14:textId="77777777" w:rsidTr="009E1C5F">
        <w:tc>
          <w:tcPr>
            <w:tcW w:w="5443" w:type="dxa"/>
            <w:vAlign w:val="center"/>
          </w:tcPr>
          <w:p w14:paraId="51110C02" w14:textId="0C418541" w:rsidR="005F2C09" w:rsidRPr="00345354" w:rsidRDefault="00836237" w:rsidP="00836237">
            <w:pPr>
              <w:rPr>
                <w:rFonts w:ascii="Arial" w:hAnsi="Arial" w:cs="Arial"/>
                <w:lang w:val="en-US"/>
              </w:rPr>
            </w:pPr>
            <w:r w:rsidRPr="00345354">
              <w:rPr>
                <w:rFonts w:ascii="Arial" w:hAnsi="Arial" w:cs="Arial"/>
                <w:lang w:val="en-US"/>
              </w:rPr>
              <w:t>Others defined by the bank</w:t>
            </w:r>
          </w:p>
        </w:tc>
        <w:tc>
          <w:tcPr>
            <w:tcW w:w="851" w:type="dxa"/>
            <w:vAlign w:val="center"/>
          </w:tcPr>
          <w:p w14:paraId="160693A7" w14:textId="77777777" w:rsidR="005F2C09" w:rsidRPr="00345354" w:rsidRDefault="005F2C09" w:rsidP="009E1C5F">
            <w:pPr>
              <w:jc w:val="center"/>
              <w:rPr>
                <w:rFonts w:ascii="Arial" w:hAnsi="Arial" w:cs="Arial"/>
                <w:lang w:val="en-US"/>
              </w:rPr>
            </w:pPr>
          </w:p>
        </w:tc>
        <w:tc>
          <w:tcPr>
            <w:tcW w:w="850" w:type="dxa"/>
            <w:vAlign w:val="center"/>
          </w:tcPr>
          <w:p w14:paraId="155B28DD" w14:textId="77777777" w:rsidR="005F2C09" w:rsidRPr="00345354" w:rsidRDefault="005F2C09" w:rsidP="009E1C5F">
            <w:pPr>
              <w:jc w:val="center"/>
              <w:rPr>
                <w:rFonts w:ascii="Arial" w:hAnsi="Arial" w:cs="Arial"/>
                <w:lang w:val="en-US"/>
              </w:rPr>
            </w:pPr>
          </w:p>
        </w:tc>
        <w:tc>
          <w:tcPr>
            <w:tcW w:w="851" w:type="dxa"/>
            <w:vAlign w:val="center"/>
          </w:tcPr>
          <w:p w14:paraId="653B6CCA" w14:textId="77777777" w:rsidR="005F2C09" w:rsidRPr="00345354" w:rsidRDefault="005F2C09" w:rsidP="009E1C5F">
            <w:pPr>
              <w:jc w:val="center"/>
              <w:rPr>
                <w:rFonts w:ascii="Arial" w:hAnsi="Arial" w:cs="Arial"/>
                <w:lang w:val="en-US"/>
              </w:rPr>
            </w:pPr>
          </w:p>
        </w:tc>
      </w:tr>
      <w:tr w:rsidR="00836237" w:rsidRPr="00345354" w14:paraId="6C72E385" w14:textId="77777777" w:rsidTr="009E1C5F">
        <w:tc>
          <w:tcPr>
            <w:tcW w:w="5443" w:type="dxa"/>
            <w:vAlign w:val="center"/>
          </w:tcPr>
          <w:p w14:paraId="540D0E35" w14:textId="7432042B" w:rsidR="00B90F5C" w:rsidRPr="00345354" w:rsidRDefault="00836237" w:rsidP="00836237">
            <w:pPr>
              <w:rPr>
                <w:rFonts w:ascii="Arial" w:hAnsi="Arial" w:cs="Arial"/>
                <w:b/>
                <w:lang w:val="en-US"/>
              </w:rPr>
            </w:pPr>
            <w:r w:rsidRPr="00345354">
              <w:rPr>
                <w:rFonts w:ascii="Arial" w:hAnsi="Arial" w:cs="Arial"/>
                <w:b/>
                <w:lang w:val="en-US"/>
              </w:rPr>
              <w:t>Sectorial GDP growth</w:t>
            </w:r>
          </w:p>
        </w:tc>
        <w:tc>
          <w:tcPr>
            <w:tcW w:w="851" w:type="dxa"/>
            <w:vAlign w:val="center"/>
          </w:tcPr>
          <w:p w14:paraId="13E6E7EA" w14:textId="77777777" w:rsidR="00B90F5C" w:rsidRPr="00345354" w:rsidRDefault="00B90F5C" w:rsidP="009E1C5F">
            <w:pPr>
              <w:jc w:val="center"/>
              <w:rPr>
                <w:rFonts w:ascii="Arial" w:hAnsi="Arial" w:cs="Arial"/>
                <w:lang w:val="en-US"/>
              </w:rPr>
            </w:pPr>
          </w:p>
        </w:tc>
        <w:tc>
          <w:tcPr>
            <w:tcW w:w="850" w:type="dxa"/>
            <w:vAlign w:val="center"/>
          </w:tcPr>
          <w:p w14:paraId="1C5BBBA0" w14:textId="77777777" w:rsidR="00B90F5C" w:rsidRPr="00345354" w:rsidRDefault="00B90F5C" w:rsidP="009E1C5F">
            <w:pPr>
              <w:jc w:val="center"/>
              <w:rPr>
                <w:rFonts w:ascii="Arial" w:hAnsi="Arial" w:cs="Arial"/>
                <w:lang w:val="en-US"/>
              </w:rPr>
            </w:pPr>
          </w:p>
        </w:tc>
        <w:tc>
          <w:tcPr>
            <w:tcW w:w="851" w:type="dxa"/>
            <w:vAlign w:val="center"/>
          </w:tcPr>
          <w:p w14:paraId="0639A4C6" w14:textId="77777777" w:rsidR="00B90F5C" w:rsidRPr="00345354" w:rsidRDefault="00B90F5C" w:rsidP="009E1C5F">
            <w:pPr>
              <w:jc w:val="center"/>
              <w:rPr>
                <w:rFonts w:ascii="Arial" w:hAnsi="Arial" w:cs="Arial"/>
                <w:lang w:val="en-US"/>
              </w:rPr>
            </w:pPr>
          </w:p>
        </w:tc>
      </w:tr>
      <w:tr w:rsidR="00836237" w:rsidRPr="00345354" w14:paraId="1920E487" w14:textId="77777777" w:rsidTr="009E1C5F">
        <w:tc>
          <w:tcPr>
            <w:tcW w:w="5443" w:type="dxa"/>
            <w:vAlign w:val="center"/>
          </w:tcPr>
          <w:p w14:paraId="0E8F49E0" w14:textId="43B8714E" w:rsidR="00B90F5C" w:rsidRPr="00345354" w:rsidRDefault="00836237" w:rsidP="00836237">
            <w:pPr>
              <w:rPr>
                <w:rFonts w:ascii="Arial" w:hAnsi="Arial" w:cs="Arial"/>
                <w:lang w:val="en-US"/>
              </w:rPr>
            </w:pPr>
            <w:r w:rsidRPr="00345354">
              <w:rPr>
                <w:rFonts w:ascii="Arial" w:hAnsi="Arial" w:cs="Arial"/>
                <w:lang w:val="en-US"/>
              </w:rPr>
              <w:t xml:space="preserve">Construction </w:t>
            </w:r>
          </w:p>
        </w:tc>
        <w:tc>
          <w:tcPr>
            <w:tcW w:w="851" w:type="dxa"/>
            <w:vAlign w:val="center"/>
          </w:tcPr>
          <w:p w14:paraId="2A11C0DC" w14:textId="77777777" w:rsidR="00B90F5C" w:rsidRPr="00345354" w:rsidRDefault="00B90F5C" w:rsidP="009E1C5F">
            <w:pPr>
              <w:jc w:val="center"/>
              <w:rPr>
                <w:rFonts w:ascii="Arial" w:hAnsi="Arial" w:cs="Arial"/>
                <w:lang w:val="en-US"/>
              </w:rPr>
            </w:pPr>
          </w:p>
        </w:tc>
        <w:tc>
          <w:tcPr>
            <w:tcW w:w="850" w:type="dxa"/>
            <w:vAlign w:val="center"/>
          </w:tcPr>
          <w:p w14:paraId="06209164" w14:textId="77777777" w:rsidR="00B90F5C" w:rsidRPr="00345354" w:rsidRDefault="00B90F5C" w:rsidP="009E1C5F">
            <w:pPr>
              <w:jc w:val="center"/>
              <w:rPr>
                <w:rFonts w:ascii="Arial" w:hAnsi="Arial" w:cs="Arial"/>
                <w:lang w:val="en-US"/>
              </w:rPr>
            </w:pPr>
          </w:p>
        </w:tc>
        <w:tc>
          <w:tcPr>
            <w:tcW w:w="851" w:type="dxa"/>
            <w:vAlign w:val="center"/>
          </w:tcPr>
          <w:p w14:paraId="2A765829" w14:textId="77777777" w:rsidR="00B90F5C" w:rsidRPr="00345354" w:rsidRDefault="00B90F5C" w:rsidP="009E1C5F">
            <w:pPr>
              <w:jc w:val="center"/>
              <w:rPr>
                <w:rFonts w:ascii="Arial" w:hAnsi="Arial" w:cs="Arial"/>
                <w:lang w:val="en-US"/>
              </w:rPr>
            </w:pPr>
          </w:p>
        </w:tc>
      </w:tr>
      <w:tr w:rsidR="00836237" w:rsidRPr="00345354" w14:paraId="0CCBCEA9" w14:textId="77777777" w:rsidTr="009E1C5F">
        <w:tc>
          <w:tcPr>
            <w:tcW w:w="5443" w:type="dxa"/>
            <w:vAlign w:val="center"/>
          </w:tcPr>
          <w:p w14:paraId="1DEBDB66" w14:textId="4456F349" w:rsidR="00B90F5C" w:rsidRPr="00345354" w:rsidRDefault="0097767A" w:rsidP="009E1C5F">
            <w:pPr>
              <w:rPr>
                <w:rFonts w:ascii="Arial" w:hAnsi="Arial" w:cs="Arial"/>
                <w:lang w:val="en-US"/>
              </w:rPr>
            </w:pPr>
            <w:r>
              <w:rPr>
                <w:rFonts w:ascii="Arial" w:hAnsi="Arial" w:cs="Arial"/>
                <w:lang w:val="en-US"/>
              </w:rPr>
              <w:t xml:space="preserve">Trade </w:t>
            </w:r>
          </w:p>
        </w:tc>
        <w:tc>
          <w:tcPr>
            <w:tcW w:w="851" w:type="dxa"/>
            <w:vAlign w:val="center"/>
          </w:tcPr>
          <w:p w14:paraId="7C4C8F0C" w14:textId="77777777" w:rsidR="00B90F5C" w:rsidRPr="00345354" w:rsidRDefault="00B90F5C" w:rsidP="009E1C5F">
            <w:pPr>
              <w:jc w:val="center"/>
              <w:rPr>
                <w:rFonts w:ascii="Arial" w:hAnsi="Arial" w:cs="Arial"/>
                <w:lang w:val="en-US"/>
              </w:rPr>
            </w:pPr>
          </w:p>
        </w:tc>
        <w:tc>
          <w:tcPr>
            <w:tcW w:w="850" w:type="dxa"/>
            <w:vAlign w:val="center"/>
          </w:tcPr>
          <w:p w14:paraId="2018CC01" w14:textId="77777777" w:rsidR="00B90F5C" w:rsidRPr="00345354" w:rsidRDefault="00B90F5C" w:rsidP="009E1C5F">
            <w:pPr>
              <w:jc w:val="center"/>
              <w:rPr>
                <w:rFonts w:ascii="Arial" w:hAnsi="Arial" w:cs="Arial"/>
                <w:lang w:val="en-US"/>
              </w:rPr>
            </w:pPr>
          </w:p>
        </w:tc>
        <w:tc>
          <w:tcPr>
            <w:tcW w:w="851" w:type="dxa"/>
            <w:vAlign w:val="center"/>
          </w:tcPr>
          <w:p w14:paraId="7256F397" w14:textId="77777777" w:rsidR="00B90F5C" w:rsidRPr="00345354" w:rsidRDefault="00B90F5C" w:rsidP="009E1C5F">
            <w:pPr>
              <w:jc w:val="center"/>
              <w:rPr>
                <w:rFonts w:ascii="Arial" w:hAnsi="Arial" w:cs="Arial"/>
                <w:lang w:val="en-US"/>
              </w:rPr>
            </w:pPr>
          </w:p>
        </w:tc>
      </w:tr>
      <w:tr w:rsidR="00836237" w:rsidRPr="00345354" w14:paraId="21C6ADFB" w14:textId="77777777" w:rsidTr="009E1C5F">
        <w:tc>
          <w:tcPr>
            <w:tcW w:w="5443" w:type="dxa"/>
            <w:vAlign w:val="center"/>
          </w:tcPr>
          <w:p w14:paraId="01C3E4F7" w14:textId="1E789EC8" w:rsidR="006E757E" w:rsidRPr="00345354" w:rsidRDefault="00836237" w:rsidP="009E1C5F">
            <w:pPr>
              <w:rPr>
                <w:rFonts w:ascii="Arial" w:hAnsi="Arial" w:cs="Arial"/>
                <w:lang w:val="en-US"/>
              </w:rPr>
            </w:pPr>
            <w:r w:rsidRPr="00345354">
              <w:rPr>
                <w:rFonts w:ascii="Arial" w:hAnsi="Arial" w:cs="Arial"/>
                <w:lang w:val="en-US"/>
              </w:rPr>
              <w:t>Services</w:t>
            </w:r>
          </w:p>
        </w:tc>
        <w:tc>
          <w:tcPr>
            <w:tcW w:w="851" w:type="dxa"/>
            <w:vAlign w:val="center"/>
          </w:tcPr>
          <w:p w14:paraId="53339AB7" w14:textId="77777777" w:rsidR="006E757E" w:rsidRPr="00345354" w:rsidRDefault="006E757E" w:rsidP="009E1C5F">
            <w:pPr>
              <w:jc w:val="center"/>
              <w:rPr>
                <w:rFonts w:ascii="Arial" w:hAnsi="Arial" w:cs="Arial"/>
                <w:lang w:val="en-US"/>
              </w:rPr>
            </w:pPr>
          </w:p>
        </w:tc>
        <w:tc>
          <w:tcPr>
            <w:tcW w:w="850" w:type="dxa"/>
            <w:vAlign w:val="center"/>
          </w:tcPr>
          <w:p w14:paraId="7DC34727" w14:textId="77777777" w:rsidR="006E757E" w:rsidRPr="00345354" w:rsidRDefault="006E757E" w:rsidP="009E1C5F">
            <w:pPr>
              <w:jc w:val="center"/>
              <w:rPr>
                <w:rFonts w:ascii="Arial" w:hAnsi="Arial" w:cs="Arial"/>
                <w:lang w:val="en-US"/>
              </w:rPr>
            </w:pPr>
          </w:p>
        </w:tc>
        <w:tc>
          <w:tcPr>
            <w:tcW w:w="851" w:type="dxa"/>
            <w:vAlign w:val="center"/>
          </w:tcPr>
          <w:p w14:paraId="478DB0DB" w14:textId="77777777" w:rsidR="006E757E" w:rsidRPr="00345354" w:rsidRDefault="006E757E" w:rsidP="009E1C5F">
            <w:pPr>
              <w:jc w:val="center"/>
              <w:rPr>
                <w:rFonts w:ascii="Arial" w:hAnsi="Arial" w:cs="Arial"/>
                <w:lang w:val="en-US"/>
              </w:rPr>
            </w:pPr>
          </w:p>
        </w:tc>
      </w:tr>
      <w:tr w:rsidR="00836237" w:rsidRPr="00345354" w14:paraId="24BD8B3C" w14:textId="77777777" w:rsidTr="009E1C5F">
        <w:tc>
          <w:tcPr>
            <w:tcW w:w="5443" w:type="dxa"/>
            <w:vAlign w:val="center"/>
          </w:tcPr>
          <w:p w14:paraId="5E0D49A7" w14:textId="2EC96134" w:rsidR="00CB6F07" w:rsidRPr="00345354" w:rsidRDefault="00836237" w:rsidP="009E1C5F">
            <w:pPr>
              <w:rPr>
                <w:rFonts w:ascii="Arial" w:hAnsi="Arial" w:cs="Arial"/>
                <w:lang w:val="en-US"/>
              </w:rPr>
            </w:pPr>
            <w:r w:rsidRPr="00345354">
              <w:rPr>
                <w:rFonts w:ascii="Arial" w:hAnsi="Arial" w:cs="Arial"/>
                <w:lang w:val="en-US"/>
              </w:rPr>
              <w:t>Tourism</w:t>
            </w:r>
          </w:p>
        </w:tc>
        <w:tc>
          <w:tcPr>
            <w:tcW w:w="851" w:type="dxa"/>
            <w:vAlign w:val="center"/>
          </w:tcPr>
          <w:p w14:paraId="3ECF72D8" w14:textId="77777777" w:rsidR="00CB6F07" w:rsidRPr="00345354" w:rsidRDefault="00CB6F07" w:rsidP="009E1C5F">
            <w:pPr>
              <w:jc w:val="center"/>
              <w:rPr>
                <w:rFonts w:ascii="Arial" w:hAnsi="Arial" w:cs="Arial"/>
                <w:lang w:val="en-US"/>
              </w:rPr>
            </w:pPr>
          </w:p>
        </w:tc>
        <w:tc>
          <w:tcPr>
            <w:tcW w:w="850" w:type="dxa"/>
            <w:vAlign w:val="center"/>
          </w:tcPr>
          <w:p w14:paraId="3775A6E1" w14:textId="77777777" w:rsidR="00CB6F07" w:rsidRPr="00345354" w:rsidRDefault="00CB6F07" w:rsidP="009E1C5F">
            <w:pPr>
              <w:jc w:val="center"/>
              <w:rPr>
                <w:rFonts w:ascii="Arial" w:hAnsi="Arial" w:cs="Arial"/>
                <w:lang w:val="en-US"/>
              </w:rPr>
            </w:pPr>
          </w:p>
        </w:tc>
        <w:tc>
          <w:tcPr>
            <w:tcW w:w="851" w:type="dxa"/>
            <w:vAlign w:val="center"/>
          </w:tcPr>
          <w:p w14:paraId="378FDA7C" w14:textId="77777777" w:rsidR="00CB6F07" w:rsidRPr="00345354" w:rsidRDefault="00CB6F07" w:rsidP="009E1C5F">
            <w:pPr>
              <w:jc w:val="center"/>
              <w:rPr>
                <w:rFonts w:ascii="Arial" w:hAnsi="Arial" w:cs="Arial"/>
                <w:lang w:val="en-US"/>
              </w:rPr>
            </w:pPr>
          </w:p>
        </w:tc>
      </w:tr>
      <w:tr w:rsidR="00836237" w:rsidRPr="00345354" w14:paraId="64E91332" w14:textId="77777777" w:rsidTr="009E1C5F">
        <w:tc>
          <w:tcPr>
            <w:tcW w:w="5443" w:type="dxa"/>
            <w:vAlign w:val="center"/>
          </w:tcPr>
          <w:p w14:paraId="16933B84" w14:textId="77777777" w:rsidR="00E32D97" w:rsidRPr="00345354" w:rsidRDefault="00E32D97" w:rsidP="009E1C5F">
            <w:pPr>
              <w:rPr>
                <w:rFonts w:ascii="Arial" w:hAnsi="Arial" w:cs="Arial"/>
                <w:lang w:val="en-US"/>
              </w:rPr>
            </w:pPr>
            <w:r w:rsidRPr="00345354">
              <w:rPr>
                <w:rFonts w:ascii="Arial" w:hAnsi="Arial" w:cs="Arial"/>
                <w:lang w:val="en-US"/>
              </w:rPr>
              <w:t>…</w:t>
            </w:r>
          </w:p>
        </w:tc>
        <w:tc>
          <w:tcPr>
            <w:tcW w:w="851" w:type="dxa"/>
            <w:vAlign w:val="center"/>
          </w:tcPr>
          <w:p w14:paraId="295EEBB4" w14:textId="77777777" w:rsidR="00E32D97" w:rsidRPr="00345354" w:rsidRDefault="00E32D97" w:rsidP="009E1C5F">
            <w:pPr>
              <w:jc w:val="center"/>
              <w:rPr>
                <w:rFonts w:ascii="Arial" w:hAnsi="Arial" w:cs="Arial"/>
                <w:lang w:val="en-US"/>
              </w:rPr>
            </w:pPr>
          </w:p>
        </w:tc>
        <w:tc>
          <w:tcPr>
            <w:tcW w:w="850" w:type="dxa"/>
            <w:vAlign w:val="center"/>
          </w:tcPr>
          <w:p w14:paraId="39852D6F" w14:textId="77777777" w:rsidR="00E32D97" w:rsidRPr="00345354" w:rsidRDefault="00E32D97" w:rsidP="009E1C5F">
            <w:pPr>
              <w:jc w:val="center"/>
              <w:rPr>
                <w:rFonts w:ascii="Arial" w:hAnsi="Arial" w:cs="Arial"/>
                <w:lang w:val="en-US"/>
              </w:rPr>
            </w:pPr>
          </w:p>
        </w:tc>
        <w:tc>
          <w:tcPr>
            <w:tcW w:w="851" w:type="dxa"/>
            <w:vAlign w:val="center"/>
          </w:tcPr>
          <w:p w14:paraId="452CDB62" w14:textId="77777777" w:rsidR="00E32D97" w:rsidRPr="00345354" w:rsidRDefault="00E32D97" w:rsidP="009E1C5F">
            <w:pPr>
              <w:jc w:val="center"/>
              <w:rPr>
                <w:rFonts w:ascii="Arial" w:hAnsi="Arial" w:cs="Arial"/>
                <w:lang w:val="en-US"/>
              </w:rPr>
            </w:pPr>
          </w:p>
        </w:tc>
      </w:tr>
      <w:tr w:rsidR="00836237" w:rsidRPr="00345354" w14:paraId="78F805FB" w14:textId="77777777" w:rsidTr="009E1C5F">
        <w:tc>
          <w:tcPr>
            <w:tcW w:w="5443" w:type="dxa"/>
            <w:vAlign w:val="center"/>
          </w:tcPr>
          <w:p w14:paraId="5C9241C6" w14:textId="0F7E56DA" w:rsidR="00CB6F07" w:rsidRPr="00345354" w:rsidRDefault="00836237" w:rsidP="00836237">
            <w:pPr>
              <w:rPr>
                <w:rFonts w:ascii="Arial" w:hAnsi="Arial" w:cs="Arial"/>
                <w:b/>
                <w:lang w:val="en-US"/>
              </w:rPr>
            </w:pPr>
            <w:r w:rsidRPr="00345354">
              <w:rPr>
                <w:rFonts w:ascii="Arial" w:hAnsi="Arial" w:cs="Arial"/>
                <w:b/>
                <w:lang w:val="en-US"/>
              </w:rPr>
              <w:t xml:space="preserve">Socio-commercial growth </w:t>
            </w:r>
            <w:r w:rsidR="006E757E" w:rsidRPr="00345354">
              <w:rPr>
                <w:rFonts w:ascii="Arial" w:hAnsi="Arial" w:cs="Arial"/>
                <w:b/>
                <w:lang w:val="en-US"/>
              </w:rPr>
              <w:t>(</w:t>
            </w:r>
            <w:r w:rsidRPr="00345354">
              <w:rPr>
                <w:rFonts w:ascii="Arial" w:hAnsi="Arial" w:cs="Arial"/>
                <w:b/>
                <w:lang w:val="en-US"/>
              </w:rPr>
              <w:t>GDP</w:t>
            </w:r>
            <w:r w:rsidR="006E757E" w:rsidRPr="00345354">
              <w:rPr>
                <w:rFonts w:ascii="Arial" w:hAnsi="Arial" w:cs="Arial"/>
                <w:b/>
                <w:lang w:val="en-US"/>
              </w:rPr>
              <w:t>)</w:t>
            </w:r>
          </w:p>
        </w:tc>
        <w:tc>
          <w:tcPr>
            <w:tcW w:w="851" w:type="dxa"/>
            <w:vAlign w:val="center"/>
          </w:tcPr>
          <w:p w14:paraId="71F2363F" w14:textId="77777777" w:rsidR="00CB6F07" w:rsidRPr="00345354" w:rsidRDefault="00CB6F07" w:rsidP="009E1C5F">
            <w:pPr>
              <w:jc w:val="center"/>
              <w:rPr>
                <w:rFonts w:ascii="Arial" w:hAnsi="Arial" w:cs="Arial"/>
                <w:lang w:val="en-US"/>
              </w:rPr>
            </w:pPr>
          </w:p>
        </w:tc>
        <w:tc>
          <w:tcPr>
            <w:tcW w:w="850" w:type="dxa"/>
            <w:vAlign w:val="center"/>
          </w:tcPr>
          <w:p w14:paraId="74180F9C" w14:textId="77777777" w:rsidR="00CB6F07" w:rsidRPr="00345354" w:rsidRDefault="00CB6F07" w:rsidP="009E1C5F">
            <w:pPr>
              <w:jc w:val="center"/>
              <w:rPr>
                <w:rFonts w:ascii="Arial" w:hAnsi="Arial" w:cs="Arial"/>
                <w:lang w:val="en-US"/>
              </w:rPr>
            </w:pPr>
          </w:p>
        </w:tc>
        <w:tc>
          <w:tcPr>
            <w:tcW w:w="851" w:type="dxa"/>
            <w:vAlign w:val="center"/>
          </w:tcPr>
          <w:p w14:paraId="5A1BD645" w14:textId="77777777" w:rsidR="00CB6F07" w:rsidRPr="00345354" w:rsidRDefault="00CB6F07" w:rsidP="009E1C5F">
            <w:pPr>
              <w:jc w:val="center"/>
              <w:rPr>
                <w:rFonts w:ascii="Arial" w:hAnsi="Arial" w:cs="Arial"/>
                <w:lang w:val="en-US"/>
              </w:rPr>
            </w:pPr>
          </w:p>
        </w:tc>
      </w:tr>
      <w:tr w:rsidR="00836237" w:rsidRPr="00345354" w14:paraId="59A7A160" w14:textId="77777777" w:rsidTr="009E1C5F">
        <w:tc>
          <w:tcPr>
            <w:tcW w:w="5443" w:type="dxa"/>
            <w:vAlign w:val="center"/>
          </w:tcPr>
          <w:p w14:paraId="5E0A641F" w14:textId="56C00AC4" w:rsidR="00CB6F07" w:rsidRPr="00345354" w:rsidRDefault="00836237" w:rsidP="00836237">
            <w:pPr>
              <w:rPr>
                <w:rFonts w:ascii="Arial" w:hAnsi="Arial" w:cs="Arial"/>
                <w:lang w:val="en-US"/>
              </w:rPr>
            </w:pPr>
            <w:r w:rsidRPr="00345354">
              <w:rPr>
                <w:rFonts w:ascii="Arial" w:hAnsi="Arial" w:cs="Arial"/>
                <w:lang w:val="en-US"/>
              </w:rPr>
              <w:t>Unite</w:t>
            </w:r>
            <w:r w:rsidR="0097767A">
              <w:rPr>
                <w:rFonts w:ascii="Arial" w:hAnsi="Arial" w:cs="Arial"/>
                <w:lang w:val="en-US"/>
              </w:rPr>
              <w:t>d</w:t>
            </w:r>
            <w:r w:rsidRPr="00345354">
              <w:rPr>
                <w:rFonts w:ascii="Arial" w:hAnsi="Arial" w:cs="Arial"/>
                <w:lang w:val="en-US"/>
              </w:rPr>
              <w:t xml:space="preserve"> States</w:t>
            </w:r>
          </w:p>
        </w:tc>
        <w:tc>
          <w:tcPr>
            <w:tcW w:w="851" w:type="dxa"/>
            <w:vAlign w:val="center"/>
          </w:tcPr>
          <w:p w14:paraId="4FAFCF81" w14:textId="77777777" w:rsidR="00CB6F07" w:rsidRPr="00345354" w:rsidRDefault="00CB6F07" w:rsidP="009E1C5F">
            <w:pPr>
              <w:jc w:val="center"/>
              <w:rPr>
                <w:rFonts w:ascii="Arial" w:hAnsi="Arial" w:cs="Arial"/>
                <w:lang w:val="en-US"/>
              </w:rPr>
            </w:pPr>
          </w:p>
        </w:tc>
        <w:tc>
          <w:tcPr>
            <w:tcW w:w="850" w:type="dxa"/>
            <w:vAlign w:val="center"/>
          </w:tcPr>
          <w:p w14:paraId="26B86454" w14:textId="77777777" w:rsidR="00CB6F07" w:rsidRPr="00345354" w:rsidRDefault="00CB6F07" w:rsidP="009E1C5F">
            <w:pPr>
              <w:jc w:val="center"/>
              <w:rPr>
                <w:rFonts w:ascii="Arial" w:hAnsi="Arial" w:cs="Arial"/>
                <w:lang w:val="en-US"/>
              </w:rPr>
            </w:pPr>
          </w:p>
        </w:tc>
        <w:tc>
          <w:tcPr>
            <w:tcW w:w="851" w:type="dxa"/>
            <w:vAlign w:val="center"/>
          </w:tcPr>
          <w:p w14:paraId="0AEDA38A" w14:textId="77777777" w:rsidR="00CB6F07" w:rsidRPr="00345354" w:rsidRDefault="00CB6F07" w:rsidP="009E1C5F">
            <w:pPr>
              <w:jc w:val="center"/>
              <w:rPr>
                <w:rFonts w:ascii="Arial" w:hAnsi="Arial" w:cs="Arial"/>
                <w:lang w:val="en-US"/>
              </w:rPr>
            </w:pPr>
          </w:p>
        </w:tc>
      </w:tr>
      <w:tr w:rsidR="00836237" w:rsidRPr="00345354" w14:paraId="5E5B617B" w14:textId="77777777" w:rsidTr="009E1C5F">
        <w:tc>
          <w:tcPr>
            <w:tcW w:w="5443" w:type="dxa"/>
            <w:vAlign w:val="center"/>
          </w:tcPr>
          <w:p w14:paraId="0EE6BB37" w14:textId="77777777" w:rsidR="00CB6F07" w:rsidRPr="00345354" w:rsidRDefault="00CB6F07" w:rsidP="009E1C5F">
            <w:pPr>
              <w:rPr>
                <w:rFonts w:ascii="Arial" w:hAnsi="Arial" w:cs="Arial"/>
                <w:lang w:val="en-US"/>
              </w:rPr>
            </w:pPr>
            <w:r w:rsidRPr="00345354">
              <w:rPr>
                <w:rFonts w:ascii="Arial" w:hAnsi="Arial" w:cs="Arial"/>
                <w:lang w:val="en-US"/>
              </w:rPr>
              <w:t>China</w:t>
            </w:r>
          </w:p>
        </w:tc>
        <w:tc>
          <w:tcPr>
            <w:tcW w:w="851" w:type="dxa"/>
            <w:vAlign w:val="center"/>
          </w:tcPr>
          <w:p w14:paraId="44A8F091" w14:textId="77777777" w:rsidR="00CB6F07" w:rsidRPr="00345354" w:rsidRDefault="00CB6F07" w:rsidP="009E1C5F">
            <w:pPr>
              <w:jc w:val="center"/>
              <w:rPr>
                <w:rFonts w:ascii="Arial" w:hAnsi="Arial" w:cs="Arial"/>
                <w:lang w:val="en-US"/>
              </w:rPr>
            </w:pPr>
          </w:p>
        </w:tc>
        <w:tc>
          <w:tcPr>
            <w:tcW w:w="850" w:type="dxa"/>
            <w:vAlign w:val="center"/>
          </w:tcPr>
          <w:p w14:paraId="2021BE5F" w14:textId="77777777" w:rsidR="00CB6F07" w:rsidRPr="00345354" w:rsidRDefault="00CB6F07" w:rsidP="009E1C5F">
            <w:pPr>
              <w:jc w:val="center"/>
              <w:rPr>
                <w:rFonts w:ascii="Arial" w:hAnsi="Arial" w:cs="Arial"/>
                <w:lang w:val="en-US"/>
              </w:rPr>
            </w:pPr>
          </w:p>
        </w:tc>
        <w:tc>
          <w:tcPr>
            <w:tcW w:w="851" w:type="dxa"/>
            <w:vAlign w:val="center"/>
          </w:tcPr>
          <w:p w14:paraId="4991183B" w14:textId="77777777" w:rsidR="00CB6F07" w:rsidRPr="00345354" w:rsidRDefault="00CB6F07" w:rsidP="009E1C5F">
            <w:pPr>
              <w:jc w:val="center"/>
              <w:rPr>
                <w:rFonts w:ascii="Arial" w:hAnsi="Arial" w:cs="Arial"/>
                <w:lang w:val="en-US"/>
              </w:rPr>
            </w:pPr>
          </w:p>
        </w:tc>
      </w:tr>
      <w:tr w:rsidR="00836237" w:rsidRPr="00345354" w14:paraId="319B0E6E" w14:textId="77777777" w:rsidTr="009E1C5F">
        <w:tc>
          <w:tcPr>
            <w:tcW w:w="5443" w:type="dxa"/>
            <w:vAlign w:val="center"/>
          </w:tcPr>
          <w:p w14:paraId="72B7818C" w14:textId="77777777" w:rsidR="00CB6F07" w:rsidRPr="00345354" w:rsidRDefault="00CB6F07" w:rsidP="009E1C5F">
            <w:pPr>
              <w:rPr>
                <w:rFonts w:ascii="Arial" w:hAnsi="Arial" w:cs="Arial"/>
                <w:lang w:val="en-US"/>
              </w:rPr>
            </w:pPr>
            <w:r w:rsidRPr="00345354">
              <w:rPr>
                <w:rFonts w:ascii="Arial" w:hAnsi="Arial" w:cs="Arial"/>
                <w:lang w:val="en-US"/>
              </w:rPr>
              <w:t>Costa Rica</w:t>
            </w:r>
          </w:p>
        </w:tc>
        <w:tc>
          <w:tcPr>
            <w:tcW w:w="851" w:type="dxa"/>
            <w:vAlign w:val="center"/>
          </w:tcPr>
          <w:p w14:paraId="04F1DE36" w14:textId="77777777" w:rsidR="00CB6F07" w:rsidRPr="00345354" w:rsidRDefault="00CB6F07" w:rsidP="009E1C5F">
            <w:pPr>
              <w:jc w:val="center"/>
              <w:rPr>
                <w:rFonts w:ascii="Arial" w:hAnsi="Arial" w:cs="Arial"/>
                <w:lang w:val="en-US"/>
              </w:rPr>
            </w:pPr>
          </w:p>
        </w:tc>
        <w:tc>
          <w:tcPr>
            <w:tcW w:w="850" w:type="dxa"/>
            <w:vAlign w:val="center"/>
          </w:tcPr>
          <w:p w14:paraId="4DE664F4" w14:textId="77777777" w:rsidR="00CB6F07" w:rsidRPr="00345354" w:rsidRDefault="00CB6F07" w:rsidP="009E1C5F">
            <w:pPr>
              <w:jc w:val="center"/>
              <w:rPr>
                <w:rFonts w:ascii="Arial" w:hAnsi="Arial" w:cs="Arial"/>
                <w:lang w:val="en-US"/>
              </w:rPr>
            </w:pPr>
          </w:p>
        </w:tc>
        <w:tc>
          <w:tcPr>
            <w:tcW w:w="851" w:type="dxa"/>
            <w:vAlign w:val="center"/>
          </w:tcPr>
          <w:p w14:paraId="1ABBCC58" w14:textId="77777777" w:rsidR="00CB6F07" w:rsidRPr="00345354" w:rsidRDefault="00CB6F07" w:rsidP="009E1C5F">
            <w:pPr>
              <w:jc w:val="center"/>
              <w:rPr>
                <w:rFonts w:ascii="Arial" w:hAnsi="Arial" w:cs="Arial"/>
                <w:lang w:val="en-US"/>
              </w:rPr>
            </w:pPr>
          </w:p>
        </w:tc>
      </w:tr>
      <w:tr w:rsidR="00836237" w:rsidRPr="00345354" w14:paraId="3ED26ED5" w14:textId="77777777" w:rsidTr="009E1C5F">
        <w:tc>
          <w:tcPr>
            <w:tcW w:w="5443" w:type="dxa"/>
            <w:vAlign w:val="center"/>
          </w:tcPr>
          <w:p w14:paraId="24857039" w14:textId="77777777" w:rsidR="00E32D97" w:rsidRPr="00345354" w:rsidRDefault="00E32D97" w:rsidP="009E1C5F">
            <w:pPr>
              <w:rPr>
                <w:rFonts w:ascii="Arial" w:hAnsi="Arial" w:cs="Arial"/>
                <w:lang w:val="en-US"/>
              </w:rPr>
            </w:pPr>
            <w:r w:rsidRPr="00345354">
              <w:rPr>
                <w:rFonts w:ascii="Arial" w:hAnsi="Arial" w:cs="Arial"/>
                <w:lang w:val="en-US"/>
              </w:rPr>
              <w:t>….</w:t>
            </w:r>
          </w:p>
        </w:tc>
        <w:tc>
          <w:tcPr>
            <w:tcW w:w="851" w:type="dxa"/>
            <w:vAlign w:val="center"/>
          </w:tcPr>
          <w:p w14:paraId="2E2F0184" w14:textId="77777777" w:rsidR="00E32D97" w:rsidRPr="00345354" w:rsidRDefault="00E32D97" w:rsidP="009E1C5F">
            <w:pPr>
              <w:jc w:val="center"/>
              <w:rPr>
                <w:rFonts w:ascii="Arial" w:hAnsi="Arial" w:cs="Arial"/>
                <w:lang w:val="en-US"/>
              </w:rPr>
            </w:pPr>
          </w:p>
        </w:tc>
        <w:tc>
          <w:tcPr>
            <w:tcW w:w="850" w:type="dxa"/>
            <w:vAlign w:val="center"/>
          </w:tcPr>
          <w:p w14:paraId="5C59F161" w14:textId="77777777" w:rsidR="00E32D97" w:rsidRPr="00345354" w:rsidRDefault="00E32D97" w:rsidP="009E1C5F">
            <w:pPr>
              <w:jc w:val="center"/>
              <w:rPr>
                <w:rFonts w:ascii="Arial" w:hAnsi="Arial" w:cs="Arial"/>
                <w:lang w:val="en-US"/>
              </w:rPr>
            </w:pPr>
          </w:p>
        </w:tc>
        <w:tc>
          <w:tcPr>
            <w:tcW w:w="851" w:type="dxa"/>
            <w:vAlign w:val="center"/>
          </w:tcPr>
          <w:p w14:paraId="018DFA92" w14:textId="77777777" w:rsidR="00E32D97" w:rsidRPr="00345354" w:rsidRDefault="00E32D97" w:rsidP="009E1C5F">
            <w:pPr>
              <w:jc w:val="center"/>
              <w:rPr>
                <w:rFonts w:ascii="Arial" w:hAnsi="Arial" w:cs="Arial"/>
                <w:lang w:val="en-US"/>
              </w:rPr>
            </w:pPr>
          </w:p>
        </w:tc>
      </w:tr>
    </w:tbl>
    <w:p w14:paraId="29F2B946" w14:textId="77777777" w:rsidR="00A6745A" w:rsidRPr="00345354" w:rsidRDefault="00B90F5C" w:rsidP="004D4950">
      <w:pPr>
        <w:spacing w:after="0" w:line="240" w:lineRule="auto"/>
        <w:ind w:left="1044" w:firstLine="36"/>
        <w:jc w:val="both"/>
        <w:rPr>
          <w:rFonts w:ascii="Arial" w:hAnsi="Arial" w:cs="Arial"/>
          <w:lang w:val="en-US"/>
        </w:rPr>
      </w:pPr>
      <w:r w:rsidRPr="00345354">
        <w:rPr>
          <w:rFonts w:ascii="Arial" w:hAnsi="Arial" w:cs="Arial"/>
          <w:lang w:val="en-US"/>
        </w:rPr>
        <w:t xml:space="preserve">  </w:t>
      </w:r>
    </w:p>
    <w:p w14:paraId="7E1772F4" w14:textId="4C4397E1" w:rsidR="00836237" w:rsidRPr="00345354" w:rsidRDefault="00CB6F07" w:rsidP="00E32D97">
      <w:pPr>
        <w:spacing w:after="0" w:line="240" w:lineRule="auto"/>
        <w:ind w:left="1843" w:hanging="709"/>
        <w:jc w:val="both"/>
        <w:rPr>
          <w:rFonts w:ascii="Arial" w:hAnsi="Arial" w:cs="Arial"/>
          <w:lang w:val="en-US"/>
        </w:rPr>
      </w:pPr>
      <w:r w:rsidRPr="00345354">
        <w:rPr>
          <w:rFonts w:ascii="Arial" w:hAnsi="Arial" w:cs="Arial"/>
          <w:lang w:val="en-US"/>
        </w:rPr>
        <w:t>2.3.</w:t>
      </w:r>
      <w:r w:rsidR="009E173A" w:rsidRPr="00345354">
        <w:rPr>
          <w:rFonts w:ascii="Arial" w:hAnsi="Arial" w:cs="Arial"/>
          <w:lang w:val="en-US"/>
        </w:rPr>
        <w:t xml:space="preserve">2. </w:t>
      </w:r>
      <w:r w:rsidR="009E38FD" w:rsidRPr="00345354">
        <w:rPr>
          <w:rFonts w:ascii="Arial" w:hAnsi="Arial" w:cs="Arial"/>
          <w:lang w:val="en-US"/>
        </w:rPr>
        <w:t xml:space="preserve"> </w:t>
      </w:r>
      <w:r w:rsidR="00836237" w:rsidRPr="00345354">
        <w:rPr>
          <w:rFonts w:ascii="Arial" w:hAnsi="Arial" w:cs="Arial"/>
          <w:lang w:val="en-US"/>
        </w:rPr>
        <w:tab/>
        <w:t>Result evaluation, the bank must analyze the level of solvency reached during t</w:t>
      </w:r>
      <w:r w:rsidR="0097767A">
        <w:rPr>
          <w:rFonts w:ascii="Arial" w:hAnsi="Arial" w:cs="Arial"/>
          <w:lang w:val="en-US"/>
        </w:rPr>
        <w:t>he stress-testing scenario: which</w:t>
      </w:r>
      <w:r w:rsidR="00836237" w:rsidRPr="00345354">
        <w:rPr>
          <w:rFonts w:ascii="Arial" w:hAnsi="Arial" w:cs="Arial"/>
          <w:lang w:val="en-US"/>
        </w:rPr>
        <w:t xml:space="preserve"> business lines </w:t>
      </w:r>
      <w:r w:rsidR="0097767A">
        <w:rPr>
          <w:rFonts w:ascii="Arial" w:hAnsi="Arial" w:cs="Arial"/>
          <w:lang w:val="en-US"/>
        </w:rPr>
        <w:t>are most affected</w:t>
      </w:r>
      <w:r w:rsidR="00836237" w:rsidRPr="00345354">
        <w:rPr>
          <w:rFonts w:ascii="Arial" w:hAnsi="Arial" w:cs="Arial"/>
          <w:lang w:val="en-US"/>
        </w:rPr>
        <w:t>, wha</w:t>
      </w:r>
      <w:r w:rsidR="0097767A">
        <w:rPr>
          <w:rFonts w:ascii="Arial" w:hAnsi="Arial" w:cs="Arial"/>
          <w:lang w:val="en-US"/>
        </w:rPr>
        <w:t>t percentage of capital funds a</w:t>
      </w:r>
      <w:r w:rsidR="00836237" w:rsidRPr="00345354">
        <w:rPr>
          <w:rFonts w:ascii="Arial" w:hAnsi="Arial" w:cs="Arial"/>
          <w:lang w:val="en-US"/>
        </w:rPr>
        <w:t xml:space="preserve">re consumed due to losses, how </w:t>
      </w:r>
      <w:r w:rsidR="0097767A">
        <w:rPr>
          <w:rFonts w:ascii="Arial" w:hAnsi="Arial" w:cs="Arial"/>
          <w:lang w:val="en-US"/>
        </w:rPr>
        <w:t xml:space="preserve">is </w:t>
      </w:r>
      <w:r w:rsidR="00836237" w:rsidRPr="00345354">
        <w:rPr>
          <w:rFonts w:ascii="Arial" w:hAnsi="Arial" w:cs="Arial"/>
          <w:lang w:val="en-US"/>
        </w:rPr>
        <w:t>the Capital Adequacy ratio without taking into con</w:t>
      </w:r>
      <w:r w:rsidR="0097767A">
        <w:rPr>
          <w:rFonts w:ascii="Arial" w:hAnsi="Arial" w:cs="Arial"/>
          <w:lang w:val="en-US"/>
        </w:rPr>
        <w:t>sideration new contributions or sale of assets</w:t>
      </w:r>
      <w:r w:rsidR="00836237" w:rsidRPr="00345354">
        <w:rPr>
          <w:rFonts w:ascii="Arial" w:hAnsi="Arial" w:cs="Arial"/>
          <w:lang w:val="en-US"/>
        </w:rPr>
        <w:t xml:space="preserve">, how much the Capital Adequacy ratio </w:t>
      </w:r>
      <w:r w:rsidR="0097767A">
        <w:rPr>
          <w:rFonts w:ascii="Arial" w:hAnsi="Arial" w:cs="Arial"/>
          <w:lang w:val="en-US"/>
        </w:rPr>
        <w:t>is</w:t>
      </w:r>
      <w:r w:rsidR="00836237" w:rsidRPr="00345354">
        <w:rPr>
          <w:rFonts w:ascii="Arial" w:hAnsi="Arial" w:cs="Arial"/>
          <w:lang w:val="en-US"/>
        </w:rPr>
        <w:t xml:space="preserve"> recovered considering </w:t>
      </w:r>
      <w:r w:rsidR="0097767A">
        <w:rPr>
          <w:rFonts w:ascii="Arial" w:hAnsi="Arial" w:cs="Arial"/>
          <w:lang w:val="en-US"/>
        </w:rPr>
        <w:t>measures</w:t>
      </w:r>
      <w:r w:rsidR="00836237" w:rsidRPr="00345354">
        <w:rPr>
          <w:rFonts w:ascii="Arial" w:hAnsi="Arial" w:cs="Arial"/>
          <w:lang w:val="en-US"/>
        </w:rPr>
        <w:t xml:space="preserve"> taken by shareholders or top management. </w:t>
      </w:r>
    </w:p>
    <w:p w14:paraId="2D32C760" w14:textId="77777777" w:rsidR="00836237" w:rsidRPr="00345354" w:rsidRDefault="00836237" w:rsidP="00E32D97">
      <w:pPr>
        <w:spacing w:after="0" w:line="240" w:lineRule="auto"/>
        <w:ind w:left="1843" w:hanging="709"/>
        <w:jc w:val="both"/>
        <w:rPr>
          <w:rFonts w:ascii="Arial" w:hAnsi="Arial" w:cs="Arial"/>
          <w:lang w:val="en-US"/>
        </w:rPr>
      </w:pPr>
    </w:p>
    <w:p w14:paraId="4BABC7B1" w14:textId="7CB20CCF" w:rsidR="009A0419" w:rsidRPr="00345354" w:rsidRDefault="009A0419" w:rsidP="009E38FD">
      <w:pPr>
        <w:spacing w:after="0" w:line="240" w:lineRule="auto"/>
        <w:ind w:left="1134" w:hanging="425"/>
        <w:jc w:val="both"/>
        <w:rPr>
          <w:rFonts w:ascii="Arial" w:hAnsi="Arial" w:cs="Arial"/>
          <w:b/>
          <w:lang w:val="en-US"/>
        </w:rPr>
      </w:pPr>
      <w:r w:rsidRPr="00345354">
        <w:rPr>
          <w:rFonts w:ascii="Arial" w:hAnsi="Arial" w:cs="Arial"/>
          <w:b/>
          <w:lang w:val="en-US"/>
        </w:rPr>
        <w:t xml:space="preserve">2.4. </w:t>
      </w:r>
      <w:r w:rsidR="009E38FD" w:rsidRPr="00345354">
        <w:rPr>
          <w:rFonts w:ascii="Arial" w:hAnsi="Arial" w:cs="Arial"/>
          <w:b/>
          <w:lang w:val="en-US"/>
        </w:rPr>
        <w:t xml:space="preserve">  </w:t>
      </w:r>
      <w:r w:rsidR="00836237" w:rsidRPr="00345354">
        <w:rPr>
          <w:rFonts w:ascii="Arial" w:hAnsi="Arial" w:cs="Arial"/>
          <w:b/>
          <w:lang w:val="en-US"/>
        </w:rPr>
        <w:t>Sensitivity Analysis</w:t>
      </w:r>
    </w:p>
    <w:p w14:paraId="467ED6C2" w14:textId="77777777" w:rsidR="003422CE" w:rsidRDefault="003422CE" w:rsidP="009E38FD">
      <w:pPr>
        <w:spacing w:after="0" w:line="240" w:lineRule="auto"/>
        <w:ind w:left="1276"/>
        <w:jc w:val="both"/>
        <w:rPr>
          <w:rFonts w:ascii="Arial" w:hAnsi="Arial" w:cs="Arial"/>
          <w:lang w:val="en-US"/>
        </w:rPr>
      </w:pPr>
    </w:p>
    <w:p w14:paraId="55A26659" w14:textId="54B25AFF" w:rsidR="00836237" w:rsidRPr="00345354" w:rsidRDefault="00836237" w:rsidP="009E38FD">
      <w:pPr>
        <w:spacing w:after="0" w:line="240" w:lineRule="auto"/>
        <w:ind w:left="1276"/>
        <w:jc w:val="both"/>
        <w:rPr>
          <w:rFonts w:ascii="Arial" w:hAnsi="Arial" w:cs="Arial"/>
          <w:lang w:val="en-US"/>
        </w:rPr>
      </w:pPr>
      <w:r w:rsidRPr="00345354">
        <w:rPr>
          <w:rFonts w:ascii="Arial" w:hAnsi="Arial" w:cs="Arial"/>
          <w:lang w:val="en-US"/>
        </w:rPr>
        <w:t>The sensitivity analysis consists on “stressing” the credit quality of the loan portfolio (or a type of loans, the most relevant to the bank)</w:t>
      </w:r>
      <w:r w:rsidR="00E61FBC" w:rsidRPr="00345354">
        <w:rPr>
          <w:rFonts w:ascii="Arial" w:hAnsi="Arial" w:cs="Arial"/>
          <w:lang w:val="en-US"/>
        </w:rPr>
        <w:t>, without having to build on a history or a scenario provoking loan deterioration. The important thing is to establish the impact on</w:t>
      </w:r>
      <w:r w:rsidR="0097767A">
        <w:rPr>
          <w:rFonts w:ascii="Arial" w:hAnsi="Arial" w:cs="Arial"/>
          <w:lang w:val="en-US"/>
        </w:rPr>
        <w:t xml:space="preserve"> the</w:t>
      </w:r>
      <w:r w:rsidR="00E61FBC" w:rsidRPr="00345354">
        <w:rPr>
          <w:rFonts w:ascii="Arial" w:hAnsi="Arial" w:cs="Arial"/>
          <w:lang w:val="en-US"/>
        </w:rPr>
        <w:t xml:space="preserve"> results and on the Capital Adequacy ratio. Similar to </w:t>
      </w:r>
      <w:r w:rsidR="0097767A">
        <w:rPr>
          <w:rFonts w:ascii="Arial" w:hAnsi="Arial" w:cs="Arial"/>
          <w:lang w:val="en-US"/>
        </w:rPr>
        <w:t>evaluating</w:t>
      </w:r>
      <w:r w:rsidR="00E61FBC" w:rsidRPr="00345354">
        <w:rPr>
          <w:rFonts w:ascii="Arial" w:hAnsi="Arial" w:cs="Arial"/>
          <w:lang w:val="en-US"/>
        </w:rPr>
        <w:t xml:space="preserve"> the stress-testing results, the bank </w:t>
      </w:r>
      <w:r w:rsidR="0097767A">
        <w:rPr>
          <w:rFonts w:ascii="Arial" w:hAnsi="Arial" w:cs="Arial"/>
          <w:lang w:val="en-US"/>
        </w:rPr>
        <w:t xml:space="preserve">should </w:t>
      </w:r>
      <w:r w:rsidR="00E61FBC" w:rsidRPr="00345354">
        <w:rPr>
          <w:rFonts w:ascii="Arial" w:hAnsi="Arial" w:cs="Arial"/>
          <w:lang w:val="en-US"/>
        </w:rPr>
        <w:t xml:space="preserve">evaluate how much of the impact on solvency from simulated portfolio </w:t>
      </w:r>
      <w:r w:rsidR="0097767A">
        <w:rPr>
          <w:rFonts w:ascii="Arial" w:hAnsi="Arial" w:cs="Arial"/>
          <w:lang w:val="en-US"/>
        </w:rPr>
        <w:t xml:space="preserve">deterioration </w:t>
      </w:r>
      <w:r w:rsidR="00E61FBC" w:rsidRPr="00345354">
        <w:rPr>
          <w:rFonts w:ascii="Arial" w:hAnsi="Arial" w:cs="Arial"/>
          <w:lang w:val="en-US"/>
        </w:rPr>
        <w:t xml:space="preserve">can be mitigated with actions taken by the shareholder (capital contributions, support from its parent company, asset sales, etc.) or by top management. </w:t>
      </w:r>
    </w:p>
    <w:p w14:paraId="2F875FEC" w14:textId="77777777" w:rsidR="00E61FBC" w:rsidRPr="00345354" w:rsidRDefault="00E61FBC" w:rsidP="009E38FD">
      <w:pPr>
        <w:spacing w:after="0" w:line="240" w:lineRule="auto"/>
        <w:ind w:left="1276"/>
        <w:jc w:val="both"/>
        <w:rPr>
          <w:rFonts w:ascii="Arial" w:hAnsi="Arial" w:cs="Arial"/>
          <w:lang w:val="en-US"/>
        </w:rPr>
      </w:pPr>
    </w:p>
    <w:p w14:paraId="7777A404" w14:textId="78D79CF4" w:rsidR="00E61FBC" w:rsidRPr="00345354" w:rsidRDefault="00E61FBC" w:rsidP="009E38FD">
      <w:pPr>
        <w:spacing w:after="0" w:line="240" w:lineRule="auto"/>
        <w:ind w:left="1276"/>
        <w:jc w:val="both"/>
        <w:rPr>
          <w:rFonts w:ascii="Arial" w:hAnsi="Arial" w:cs="Arial"/>
          <w:lang w:val="en-US"/>
        </w:rPr>
      </w:pPr>
      <w:r w:rsidRPr="00345354">
        <w:rPr>
          <w:rFonts w:ascii="Arial" w:hAnsi="Arial" w:cs="Arial"/>
          <w:lang w:val="en-US"/>
        </w:rPr>
        <w:t xml:space="preserve">The sensitivity analysis results </w:t>
      </w:r>
      <w:r w:rsidR="0097767A">
        <w:rPr>
          <w:rFonts w:ascii="Arial" w:hAnsi="Arial" w:cs="Arial"/>
          <w:lang w:val="en-US"/>
        </w:rPr>
        <w:t>should be presented using the following table</w:t>
      </w:r>
      <w:r w:rsidRPr="00345354">
        <w:rPr>
          <w:rFonts w:ascii="Arial" w:hAnsi="Arial" w:cs="Arial"/>
          <w:lang w:val="en-US"/>
        </w:rPr>
        <w:t>:</w:t>
      </w:r>
    </w:p>
    <w:p w14:paraId="366F18A2" w14:textId="77777777" w:rsidR="00522C04" w:rsidRPr="00345354" w:rsidRDefault="00522C04" w:rsidP="004D4950">
      <w:pPr>
        <w:spacing w:after="0" w:line="240" w:lineRule="auto"/>
        <w:ind w:left="1410"/>
        <w:jc w:val="both"/>
        <w:rPr>
          <w:rFonts w:ascii="Arial" w:hAnsi="Arial" w:cs="Arial"/>
          <w:lang w:val="en-US"/>
        </w:rPr>
      </w:pPr>
    </w:p>
    <w:tbl>
      <w:tblPr>
        <w:tblStyle w:val="Tablaconcuadrcula"/>
        <w:tblW w:w="0" w:type="auto"/>
        <w:tblInd w:w="108" w:type="dxa"/>
        <w:tblLook w:val="04A0" w:firstRow="1" w:lastRow="0" w:firstColumn="1" w:lastColumn="0" w:noHBand="0" w:noVBand="1"/>
      </w:tblPr>
      <w:tblGrid>
        <w:gridCol w:w="6190"/>
        <w:gridCol w:w="842"/>
        <w:gridCol w:w="841"/>
        <w:gridCol w:w="847"/>
      </w:tblGrid>
      <w:tr w:rsidR="00E61FBC" w:rsidRPr="00345354" w14:paraId="48E8DAE5" w14:textId="77777777" w:rsidTr="00E61FBC">
        <w:trPr>
          <w:tblHeader/>
        </w:trPr>
        <w:tc>
          <w:tcPr>
            <w:tcW w:w="6190" w:type="dxa"/>
          </w:tcPr>
          <w:p w14:paraId="5F10C522" w14:textId="77777777" w:rsidR="00E61FBC" w:rsidRPr="00345354" w:rsidRDefault="00E61FBC" w:rsidP="00E61FBC">
            <w:pPr>
              <w:jc w:val="both"/>
              <w:rPr>
                <w:rFonts w:ascii="Arial" w:hAnsi="Arial" w:cs="Arial"/>
                <w:b/>
                <w:lang w:val="en-US"/>
              </w:rPr>
            </w:pPr>
          </w:p>
        </w:tc>
        <w:tc>
          <w:tcPr>
            <w:tcW w:w="842" w:type="dxa"/>
            <w:vAlign w:val="center"/>
          </w:tcPr>
          <w:p w14:paraId="216791BB" w14:textId="4D2096EB" w:rsidR="00E61FBC" w:rsidRPr="00345354" w:rsidRDefault="00E61FBC" w:rsidP="00E61FBC">
            <w:pPr>
              <w:jc w:val="center"/>
              <w:rPr>
                <w:rFonts w:ascii="Arial" w:hAnsi="Arial" w:cs="Arial"/>
                <w:b/>
                <w:lang w:val="en-US"/>
              </w:rPr>
            </w:pPr>
            <w:r w:rsidRPr="00345354">
              <w:rPr>
                <w:rFonts w:ascii="Arial" w:hAnsi="Arial" w:cs="Arial"/>
                <w:b/>
                <w:lang w:val="en-US"/>
              </w:rPr>
              <w:t>1</w:t>
            </w:r>
            <w:r w:rsidRPr="00345354">
              <w:rPr>
                <w:rFonts w:ascii="Arial" w:hAnsi="Arial" w:cs="Arial"/>
                <w:b/>
                <w:vertAlign w:val="superscript"/>
                <w:lang w:val="en-US"/>
              </w:rPr>
              <w:t>st</w:t>
            </w:r>
            <w:r w:rsidRPr="00345354">
              <w:rPr>
                <w:rFonts w:ascii="Arial" w:hAnsi="Arial" w:cs="Arial"/>
                <w:b/>
                <w:lang w:val="en-US"/>
              </w:rPr>
              <w:t xml:space="preserve"> year</w:t>
            </w:r>
          </w:p>
        </w:tc>
        <w:tc>
          <w:tcPr>
            <w:tcW w:w="841" w:type="dxa"/>
            <w:vAlign w:val="center"/>
          </w:tcPr>
          <w:p w14:paraId="1D4E6763" w14:textId="28CEB4FA" w:rsidR="00E61FBC" w:rsidRPr="00345354" w:rsidRDefault="00E61FBC" w:rsidP="00E61FBC">
            <w:pPr>
              <w:jc w:val="center"/>
              <w:rPr>
                <w:rFonts w:ascii="Arial" w:hAnsi="Arial" w:cs="Arial"/>
                <w:b/>
                <w:lang w:val="en-US"/>
              </w:rPr>
            </w:pPr>
            <w:r w:rsidRPr="00345354">
              <w:rPr>
                <w:rFonts w:ascii="Arial" w:hAnsi="Arial" w:cs="Arial"/>
                <w:b/>
                <w:lang w:val="en-US"/>
              </w:rPr>
              <w:t>2</w:t>
            </w:r>
            <w:r w:rsidRPr="00345354">
              <w:rPr>
                <w:rFonts w:ascii="Arial" w:hAnsi="Arial" w:cs="Arial"/>
                <w:b/>
                <w:vertAlign w:val="superscript"/>
                <w:lang w:val="en-US"/>
              </w:rPr>
              <w:t>nd</w:t>
            </w:r>
            <w:r w:rsidRPr="00345354">
              <w:rPr>
                <w:rFonts w:ascii="Arial" w:hAnsi="Arial" w:cs="Arial"/>
                <w:b/>
                <w:lang w:val="en-US"/>
              </w:rPr>
              <w:t xml:space="preserve"> year</w:t>
            </w:r>
          </w:p>
        </w:tc>
        <w:tc>
          <w:tcPr>
            <w:tcW w:w="847" w:type="dxa"/>
            <w:vAlign w:val="center"/>
          </w:tcPr>
          <w:p w14:paraId="63E0FA22" w14:textId="61AB3509" w:rsidR="00E61FBC" w:rsidRPr="00345354" w:rsidRDefault="00E61FBC" w:rsidP="00E61FBC">
            <w:pPr>
              <w:jc w:val="center"/>
              <w:rPr>
                <w:rFonts w:ascii="Arial" w:hAnsi="Arial" w:cs="Arial"/>
                <w:b/>
                <w:lang w:val="en-US"/>
              </w:rPr>
            </w:pPr>
            <w:r w:rsidRPr="00345354">
              <w:rPr>
                <w:rFonts w:ascii="Arial" w:hAnsi="Arial" w:cs="Arial"/>
                <w:b/>
                <w:lang w:val="en-US"/>
              </w:rPr>
              <w:t>3</w:t>
            </w:r>
            <w:r w:rsidRPr="00345354">
              <w:rPr>
                <w:rFonts w:ascii="Arial" w:hAnsi="Arial" w:cs="Arial"/>
                <w:b/>
                <w:vertAlign w:val="superscript"/>
                <w:lang w:val="en-US"/>
              </w:rPr>
              <w:t>rd</w:t>
            </w:r>
            <w:r w:rsidRPr="00345354">
              <w:rPr>
                <w:rFonts w:ascii="Arial" w:hAnsi="Arial" w:cs="Arial"/>
                <w:b/>
                <w:lang w:val="en-US"/>
              </w:rPr>
              <w:t xml:space="preserve"> year</w:t>
            </w:r>
          </w:p>
        </w:tc>
      </w:tr>
      <w:tr w:rsidR="00311AAC" w:rsidRPr="00345354" w14:paraId="4844C305" w14:textId="77777777" w:rsidTr="00E61FBC">
        <w:tc>
          <w:tcPr>
            <w:tcW w:w="6190" w:type="dxa"/>
          </w:tcPr>
          <w:p w14:paraId="2822564A" w14:textId="6BD500A5" w:rsidR="002F02F4" w:rsidRPr="00345354" w:rsidRDefault="00E61FBC" w:rsidP="00E61FBC">
            <w:pPr>
              <w:jc w:val="both"/>
              <w:rPr>
                <w:rFonts w:ascii="Arial" w:hAnsi="Arial" w:cs="Arial"/>
                <w:lang w:val="en-US"/>
              </w:rPr>
            </w:pPr>
            <w:r w:rsidRPr="00345354">
              <w:rPr>
                <w:rFonts w:ascii="Arial" w:hAnsi="Arial" w:cs="Arial"/>
                <w:lang w:val="en-US"/>
              </w:rPr>
              <w:t xml:space="preserve">Specific provisions </w:t>
            </w:r>
            <w:r w:rsidR="0097767A">
              <w:rPr>
                <w:rFonts w:ascii="Arial" w:hAnsi="Arial" w:cs="Arial"/>
                <w:lang w:val="en-US"/>
              </w:rPr>
              <w:t>–</w:t>
            </w:r>
            <w:r w:rsidRPr="00345354">
              <w:rPr>
                <w:rFonts w:ascii="Arial" w:hAnsi="Arial" w:cs="Arial"/>
                <w:lang w:val="en-US"/>
              </w:rPr>
              <w:t xml:space="preserve"> Corporate loans</w:t>
            </w:r>
          </w:p>
        </w:tc>
        <w:tc>
          <w:tcPr>
            <w:tcW w:w="842" w:type="dxa"/>
          </w:tcPr>
          <w:p w14:paraId="48551938" w14:textId="77777777" w:rsidR="002F02F4" w:rsidRPr="00345354" w:rsidRDefault="002F02F4" w:rsidP="004D4950">
            <w:pPr>
              <w:jc w:val="both"/>
              <w:rPr>
                <w:rFonts w:ascii="Arial" w:hAnsi="Arial" w:cs="Arial"/>
                <w:lang w:val="en-US"/>
              </w:rPr>
            </w:pPr>
          </w:p>
        </w:tc>
        <w:tc>
          <w:tcPr>
            <w:tcW w:w="841" w:type="dxa"/>
          </w:tcPr>
          <w:p w14:paraId="03B54600" w14:textId="77777777" w:rsidR="002F02F4" w:rsidRPr="00345354" w:rsidRDefault="002F02F4" w:rsidP="004D4950">
            <w:pPr>
              <w:jc w:val="both"/>
              <w:rPr>
                <w:rFonts w:ascii="Arial" w:hAnsi="Arial" w:cs="Arial"/>
                <w:lang w:val="en-US"/>
              </w:rPr>
            </w:pPr>
          </w:p>
        </w:tc>
        <w:tc>
          <w:tcPr>
            <w:tcW w:w="847" w:type="dxa"/>
          </w:tcPr>
          <w:p w14:paraId="5C4B1A82" w14:textId="77777777" w:rsidR="002F02F4" w:rsidRPr="00345354" w:rsidRDefault="002F02F4" w:rsidP="004D4950">
            <w:pPr>
              <w:jc w:val="both"/>
              <w:rPr>
                <w:rFonts w:ascii="Arial" w:hAnsi="Arial" w:cs="Arial"/>
                <w:lang w:val="en-US"/>
              </w:rPr>
            </w:pPr>
          </w:p>
        </w:tc>
      </w:tr>
      <w:tr w:rsidR="00311AAC" w:rsidRPr="00345354" w14:paraId="203A5E8A" w14:textId="77777777" w:rsidTr="00E61FBC">
        <w:tc>
          <w:tcPr>
            <w:tcW w:w="6190" w:type="dxa"/>
          </w:tcPr>
          <w:p w14:paraId="10FA6FD6" w14:textId="0AB0A04C" w:rsidR="002F02F4" w:rsidRPr="00345354" w:rsidRDefault="00E61FBC" w:rsidP="00E61FBC">
            <w:pPr>
              <w:jc w:val="both"/>
              <w:rPr>
                <w:rFonts w:ascii="Arial" w:hAnsi="Arial" w:cs="Arial"/>
                <w:lang w:val="en-US"/>
              </w:rPr>
            </w:pPr>
            <w:r w:rsidRPr="00345354">
              <w:rPr>
                <w:rFonts w:ascii="Arial" w:hAnsi="Arial" w:cs="Arial"/>
                <w:lang w:val="en-US"/>
              </w:rPr>
              <w:t>S</w:t>
            </w:r>
            <w:r w:rsidR="0097767A">
              <w:rPr>
                <w:rFonts w:ascii="Arial" w:hAnsi="Arial" w:cs="Arial"/>
                <w:lang w:val="en-US"/>
              </w:rPr>
              <w:t>pecific provisions – Consumer</w:t>
            </w:r>
            <w:r w:rsidRPr="00345354">
              <w:rPr>
                <w:rFonts w:ascii="Arial" w:hAnsi="Arial" w:cs="Arial"/>
                <w:lang w:val="en-US"/>
              </w:rPr>
              <w:t xml:space="preserve"> loans </w:t>
            </w:r>
          </w:p>
        </w:tc>
        <w:tc>
          <w:tcPr>
            <w:tcW w:w="842" w:type="dxa"/>
          </w:tcPr>
          <w:p w14:paraId="72A1101F" w14:textId="77777777" w:rsidR="002F02F4" w:rsidRPr="00345354" w:rsidRDefault="002F02F4" w:rsidP="004D4950">
            <w:pPr>
              <w:jc w:val="both"/>
              <w:rPr>
                <w:rFonts w:ascii="Arial" w:hAnsi="Arial" w:cs="Arial"/>
                <w:lang w:val="en-US"/>
              </w:rPr>
            </w:pPr>
          </w:p>
        </w:tc>
        <w:tc>
          <w:tcPr>
            <w:tcW w:w="841" w:type="dxa"/>
          </w:tcPr>
          <w:p w14:paraId="27F47BFC" w14:textId="77777777" w:rsidR="002F02F4" w:rsidRPr="00345354" w:rsidRDefault="002F02F4" w:rsidP="004D4950">
            <w:pPr>
              <w:jc w:val="both"/>
              <w:rPr>
                <w:rFonts w:ascii="Arial" w:hAnsi="Arial" w:cs="Arial"/>
                <w:lang w:val="en-US"/>
              </w:rPr>
            </w:pPr>
          </w:p>
        </w:tc>
        <w:tc>
          <w:tcPr>
            <w:tcW w:w="847" w:type="dxa"/>
          </w:tcPr>
          <w:p w14:paraId="69453CCC" w14:textId="77777777" w:rsidR="002F02F4" w:rsidRPr="00345354" w:rsidRDefault="002F02F4" w:rsidP="004D4950">
            <w:pPr>
              <w:jc w:val="both"/>
              <w:rPr>
                <w:rFonts w:ascii="Arial" w:hAnsi="Arial" w:cs="Arial"/>
                <w:lang w:val="en-US"/>
              </w:rPr>
            </w:pPr>
          </w:p>
        </w:tc>
      </w:tr>
      <w:tr w:rsidR="00311AAC" w:rsidRPr="00345354" w14:paraId="543DADA8" w14:textId="77777777" w:rsidTr="00E61FBC">
        <w:tc>
          <w:tcPr>
            <w:tcW w:w="6190" w:type="dxa"/>
          </w:tcPr>
          <w:p w14:paraId="7A499458" w14:textId="3DBDDCD3" w:rsidR="002F02F4" w:rsidRPr="00345354" w:rsidRDefault="00E61FBC" w:rsidP="00E61FBC">
            <w:pPr>
              <w:jc w:val="both"/>
              <w:rPr>
                <w:rFonts w:ascii="Arial" w:hAnsi="Arial" w:cs="Arial"/>
                <w:lang w:val="en-US"/>
              </w:rPr>
            </w:pPr>
            <w:r w:rsidRPr="00345354">
              <w:rPr>
                <w:rFonts w:ascii="Arial" w:hAnsi="Arial" w:cs="Arial"/>
                <w:lang w:val="en-US"/>
              </w:rPr>
              <w:t>Specific provisions – Mortgages</w:t>
            </w:r>
          </w:p>
        </w:tc>
        <w:tc>
          <w:tcPr>
            <w:tcW w:w="842" w:type="dxa"/>
          </w:tcPr>
          <w:p w14:paraId="73CCE75B" w14:textId="77777777" w:rsidR="002F02F4" w:rsidRPr="00345354" w:rsidRDefault="002F02F4" w:rsidP="004D4950">
            <w:pPr>
              <w:jc w:val="both"/>
              <w:rPr>
                <w:rFonts w:ascii="Arial" w:hAnsi="Arial" w:cs="Arial"/>
                <w:lang w:val="en-US"/>
              </w:rPr>
            </w:pPr>
          </w:p>
        </w:tc>
        <w:tc>
          <w:tcPr>
            <w:tcW w:w="841" w:type="dxa"/>
          </w:tcPr>
          <w:p w14:paraId="16D483C6" w14:textId="77777777" w:rsidR="002F02F4" w:rsidRPr="00345354" w:rsidRDefault="002F02F4" w:rsidP="004D4950">
            <w:pPr>
              <w:jc w:val="both"/>
              <w:rPr>
                <w:rFonts w:ascii="Arial" w:hAnsi="Arial" w:cs="Arial"/>
                <w:lang w:val="en-US"/>
              </w:rPr>
            </w:pPr>
          </w:p>
        </w:tc>
        <w:tc>
          <w:tcPr>
            <w:tcW w:w="847" w:type="dxa"/>
          </w:tcPr>
          <w:p w14:paraId="71D00431" w14:textId="77777777" w:rsidR="002F02F4" w:rsidRPr="00345354" w:rsidRDefault="002F02F4" w:rsidP="004D4950">
            <w:pPr>
              <w:jc w:val="both"/>
              <w:rPr>
                <w:rFonts w:ascii="Arial" w:hAnsi="Arial" w:cs="Arial"/>
                <w:lang w:val="en-US"/>
              </w:rPr>
            </w:pPr>
          </w:p>
        </w:tc>
      </w:tr>
      <w:tr w:rsidR="00311AAC" w:rsidRPr="00345354" w14:paraId="298A6390" w14:textId="77777777" w:rsidTr="00E61FBC">
        <w:tc>
          <w:tcPr>
            <w:tcW w:w="6190" w:type="dxa"/>
          </w:tcPr>
          <w:p w14:paraId="5D3BE88F" w14:textId="325C59EC" w:rsidR="002F02F4" w:rsidRPr="00345354" w:rsidRDefault="00E61FBC" w:rsidP="00E61FBC">
            <w:pPr>
              <w:jc w:val="both"/>
              <w:rPr>
                <w:rFonts w:ascii="Arial" w:hAnsi="Arial" w:cs="Arial"/>
                <w:lang w:val="en-US"/>
              </w:rPr>
            </w:pPr>
            <w:r w:rsidRPr="00345354">
              <w:rPr>
                <w:rFonts w:ascii="Arial" w:hAnsi="Arial" w:cs="Arial"/>
                <w:lang w:val="en-US"/>
              </w:rPr>
              <w:t>Nonperforming loans</w:t>
            </w:r>
            <w:r w:rsidR="002E11DB" w:rsidRPr="00345354">
              <w:rPr>
                <w:rFonts w:ascii="Arial" w:hAnsi="Arial" w:cs="Arial"/>
                <w:lang w:val="en-US"/>
              </w:rPr>
              <w:t xml:space="preserve"> (</w:t>
            </w:r>
            <w:r w:rsidRPr="00345354">
              <w:rPr>
                <w:rFonts w:ascii="Arial" w:hAnsi="Arial" w:cs="Arial"/>
                <w:lang w:val="en-US"/>
              </w:rPr>
              <w:t>NPL</w:t>
            </w:r>
            <w:r w:rsidR="002E11DB" w:rsidRPr="00345354">
              <w:rPr>
                <w:rFonts w:ascii="Arial" w:hAnsi="Arial" w:cs="Arial"/>
                <w:lang w:val="en-US"/>
              </w:rPr>
              <w:t>)</w:t>
            </w:r>
          </w:p>
        </w:tc>
        <w:tc>
          <w:tcPr>
            <w:tcW w:w="842" w:type="dxa"/>
          </w:tcPr>
          <w:p w14:paraId="5E55B0AE" w14:textId="77777777" w:rsidR="002F02F4" w:rsidRPr="00345354" w:rsidRDefault="002F02F4" w:rsidP="004D4950">
            <w:pPr>
              <w:jc w:val="both"/>
              <w:rPr>
                <w:rFonts w:ascii="Arial" w:hAnsi="Arial" w:cs="Arial"/>
                <w:lang w:val="en-US"/>
              </w:rPr>
            </w:pPr>
          </w:p>
        </w:tc>
        <w:tc>
          <w:tcPr>
            <w:tcW w:w="841" w:type="dxa"/>
          </w:tcPr>
          <w:p w14:paraId="1867F149" w14:textId="77777777" w:rsidR="002F02F4" w:rsidRPr="00345354" w:rsidRDefault="002F02F4" w:rsidP="004D4950">
            <w:pPr>
              <w:jc w:val="both"/>
              <w:rPr>
                <w:rFonts w:ascii="Arial" w:hAnsi="Arial" w:cs="Arial"/>
                <w:lang w:val="en-US"/>
              </w:rPr>
            </w:pPr>
          </w:p>
        </w:tc>
        <w:tc>
          <w:tcPr>
            <w:tcW w:w="847" w:type="dxa"/>
          </w:tcPr>
          <w:p w14:paraId="66A02A79" w14:textId="77777777" w:rsidR="002F02F4" w:rsidRPr="00345354" w:rsidRDefault="002F02F4" w:rsidP="004D4950">
            <w:pPr>
              <w:jc w:val="both"/>
              <w:rPr>
                <w:rFonts w:ascii="Arial" w:hAnsi="Arial" w:cs="Arial"/>
                <w:lang w:val="en-US"/>
              </w:rPr>
            </w:pPr>
          </w:p>
        </w:tc>
      </w:tr>
      <w:tr w:rsidR="00311AAC" w:rsidRPr="00345354" w14:paraId="2DB4B3B6" w14:textId="77777777" w:rsidTr="00E61FBC">
        <w:tc>
          <w:tcPr>
            <w:tcW w:w="6190" w:type="dxa"/>
          </w:tcPr>
          <w:p w14:paraId="3D1A4B9A" w14:textId="768E980C" w:rsidR="002F02F4" w:rsidRPr="00345354" w:rsidRDefault="00E61FBC" w:rsidP="00E61FBC">
            <w:pPr>
              <w:jc w:val="both"/>
              <w:rPr>
                <w:rFonts w:ascii="Arial" w:hAnsi="Arial" w:cs="Arial"/>
                <w:lang w:val="en-US"/>
              </w:rPr>
            </w:pPr>
            <w:r w:rsidRPr="00345354">
              <w:rPr>
                <w:rFonts w:ascii="Arial" w:hAnsi="Arial" w:cs="Arial"/>
                <w:lang w:val="en-US"/>
              </w:rPr>
              <w:lastRenderedPageBreak/>
              <w:t xml:space="preserve">Delinquent loans </w:t>
            </w:r>
            <w:r w:rsidR="002E11DB" w:rsidRPr="00345354">
              <w:rPr>
                <w:rFonts w:ascii="Arial" w:hAnsi="Arial" w:cs="Arial"/>
                <w:lang w:val="en-US"/>
              </w:rPr>
              <w:t>(</w:t>
            </w:r>
            <w:r w:rsidRPr="00345354">
              <w:rPr>
                <w:rFonts w:ascii="Arial" w:hAnsi="Arial" w:cs="Arial"/>
                <w:lang w:val="en-US"/>
              </w:rPr>
              <w:t>DL</w:t>
            </w:r>
            <w:r w:rsidR="002E11DB" w:rsidRPr="00345354">
              <w:rPr>
                <w:rFonts w:ascii="Arial" w:hAnsi="Arial" w:cs="Arial"/>
                <w:lang w:val="en-US"/>
              </w:rPr>
              <w:t>)</w:t>
            </w:r>
          </w:p>
        </w:tc>
        <w:tc>
          <w:tcPr>
            <w:tcW w:w="842" w:type="dxa"/>
          </w:tcPr>
          <w:p w14:paraId="34D326F1" w14:textId="77777777" w:rsidR="002F02F4" w:rsidRPr="00345354" w:rsidRDefault="002F02F4" w:rsidP="004D4950">
            <w:pPr>
              <w:jc w:val="both"/>
              <w:rPr>
                <w:rFonts w:ascii="Arial" w:hAnsi="Arial" w:cs="Arial"/>
                <w:lang w:val="en-US"/>
              </w:rPr>
            </w:pPr>
          </w:p>
        </w:tc>
        <w:tc>
          <w:tcPr>
            <w:tcW w:w="841" w:type="dxa"/>
          </w:tcPr>
          <w:p w14:paraId="2389B6C8" w14:textId="77777777" w:rsidR="002F02F4" w:rsidRPr="00345354" w:rsidRDefault="002F02F4" w:rsidP="004D4950">
            <w:pPr>
              <w:jc w:val="both"/>
              <w:rPr>
                <w:rFonts w:ascii="Arial" w:hAnsi="Arial" w:cs="Arial"/>
                <w:lang w:val="en-US"/>
              </w:rPr>
            </w:pPr>
          </w:p>
        </w:tc>
        <w:tc>
          <w:tcPr>
            <w:tcW w:w="847" w:type="dxa"/>
          </w:tcPr>
          <w:p w14:paraId="7535D837" w14:textId="77777777" w:rsidR="002F02F4" w:rsidRPr="00345354" w:rsidRDefault="002F02F4" w:rsidP="004D4950">
            <w:pPr>
              <w:jc w:val="both"/>
              <w:rPr>
                <w:rFonts w:ascii="Arial" w:hAnsi="Arial" w:cs="Arial"/>
                <w:lang w:val="en-US"/>
              </w:rPr>
            </w:pPr>
          </w:p>
        </w:tc>
      </w:tr>
      <w:tr w:rsidR="00311AAC" w:rsidRPr="00345354" w14:paraId="5E783157" w14:textId="77777777" w:rsidTr="00E61FBC">
        <w:tc>
          <w:tcPr>
            <w:tcW w:w="6190" w:type="dxa"/>
          </w:tcPr>
          <w:p w14:paraId="085F1F2B" w14:textId="4C1EDD83" w:rsidR="002F02F4" w:rsidRPr="00345354" w:rsidRDefault="00E61FBC" w:rsidP="00E61FBC">
            <w:pPr>
              <w:jc w:val="both"/>
              <w:rPr>
                <w:rFonts w:ascii="Arial" w:hAnsi="Arial" w:cs="Arial"/>
                <w:lang w:val="en-US"/>
              </w:rPr>
            </w:pPr>
            <w:r w:rsidRPr="00345354">
              <w:rPr>
                <w:rFonts w:ascii="Arial" w:hAnsi="Arial" w:cs="Arial"/>
                <w:lang w:val="en-US"/>
              </w:rPr>
              <w:t xml:space="preserve">Restructured loans </w:t>
            </w:r>
            <w:r w:rsidR="002E11DB" w:rsidRPr="00345354">
              <w:rPr>
                <w:rFonts w:ascii="Arial" w:hAnsi="Arial" w:cs="Arial"/>
                <w:lang w:val="en-US"/>
              </w:rPr>
              <w:t>(</w:t>
            </w:r>
            <w:r w:rsidRPr="00345354">
              <w:rPr>
                <w:rFonts w:ascii="Arial" w:hAnsi="Arial" w:cs="Arial"/>
                <w:lang w:val="en-US"/>
              </w:rPr>
              <w:t>RL</w:t>
            </w:r>
            <w:r w:rsidR="002E11DB" w:rsidRPr="00345354">
              <w:rPr>
                <w:rFonts w:ascii="Arial" w:hAnsi="Arial" w:cs="Arial"/>
                <w:lang w:val="en-US"/>
              </w:rPr>
              <w:t>)</w:t>
            </w:r>
          </w:p>
        </w:tc>
        <w:tc>
          <w:tcPr>
            <w:tcW w:w="842" w:type="dxa"/>
          </w:tcPr>
          <w:p w14:paraId="443B6420" w14:textId="77777777" w:rsidR="002F02F4" w:rsidRPr="00345354" w:rsidRDefault="002F02F4" w:rsidP="004D4950">
            <w:pPr>
              <w:jc w:val="both"/>
              <w:rPr>
                <w:rFonts w:ascii="Arial" w:hAnsi="Arial" w:cs="Arial"/>
                <w:lang w:val="en-US"/>
              </w:rPr>
            </w:pPr>
          </w:p>
        </w:tc>
        <w:tc>
          <w:tcPr>
            <w:tcW w:w="841" w:type="dxa"/>
          </w:tcPr>
          <w:p w14:paraId="357CFF9C" w14:textId="77777777" w:rsidR="002F02F4" w:rsidRPr="00345354" w:rsidRDefault="002F02F4" w:rsidP="004D4950">
            <w:pPr>
              <w:jc w:val="both"/>
              <w:rPr>
                <w:rFonts w:ascii="Arial" w:hAnsi="Arial" w:cs="Arial"/>
                <w:lang w:val="en-US"/>
              </w:rPr>
            </w:pPr>
          </w:p>
        </w:tc>
        <w:tc>
          <w:tcPr>
            <w:tcW w:w="847" w:type="dxa"/>
          </w:tcPr>
          <w:p w14:paraId="1766D14D" w14:textId="77777777" w:rsidR="002F02F4" w:rsidRPr="00345354" w:rsidRDefault="002F02F4" w:rsidP="004D4950">
            <w:pPr>
              <w:jc w:val="both"/>
              <w:rPr>
                <w:rFonts w:ascii="Arial" w:hAnsi="Arial" w:cs="Arial"/>
                <w:lang w:val="en-US"/>
              </w:rPr>
            </w:pPr>
          </w:p>
        </w:tc>
      </w:tr>
      <w:tr w:rsidR="00311AAC" w:rsidRPr="0054235D" w14:paraId="23B1C0DD" w14:textId="77777777" w:rsidTr="00E61FBC">
        <w:tc>
          <w:tcPr>
            <w:tcW w:w="6190" w:type="dxa"/>
          </w:tcPr>
          <w:p w14:paraId="4409C38D" w14:textId="362920B5" w:rsidR="002F02F4" w:rsidRPr="00345354" w:rsidRDefault="00E61FBC" w:rsidP="00E61FBC">
            <w:pPr>
              <w:jc w:val="both"/>
              <w:rPr>
                <w:rFonts w:ascii="Arial" w:hAnsi="Arial" w:cs="Arial"/>
                <w:lang w:val="en-US"/>
              </w:rPr>
            </w:pPr>
            <w:r w:rsidRPr="00345354">
              <w:rPr>
                <w:rFonts w:ascii="Arial" w:hAnsi="Arial" w:cs="Arial"/>
                <w:lang w:val="en-US"/>
              </w:rPr>
              <w:t xml:space="preserve">High-risk loans </w:t>
            </w:r>
            <w:r w:rsidR="002E11DB" w:rsidRPr="00345354">
              <w:rPr>
                <w:rFonts w:ascii="Arial" w:hAnsi="Arial" w:cs="Arial"/>
                <w:lang w:val="en-US"/>
              </w:rPr>
              <w:t>(</w:t>
            </w:r>
            <w:r w:rsidRPr="00345354">
              <w:rPr>
                <w:rFonts w:ascii="Arial" w:hAnsi="Arial" w:cs="Arial"/>
                <w:lang w:val="en-US"/>
              </w:rPr>
              <w:t>NPL</w:t>
            </w:r>
            <w:r w:rsidR="002E11DB" w:rsidRPr="00345354">
              <w:rPr>
                <w:rFonts w:ascii="Arial" w:hAnsi="Arial" w:cs="Arial"/>
                <w:lang w:val="en-US"/>
              </w:rPr>
              <w:t>+</w:t>
            </w:r>
            <w:r w:rsidRPr="00345354">
              <w:rPr>
                <w:rFonts w:ascii="Arial" w:hAnsi="Arial" w:cs="Arial"/>
                <w:lang w:val="en-US"/>
              </w:rPr>
              <w:t>DL</w:t>
            </w:r>
            <w:r w:rsidR="002E11DB" w:rsidRPr="00345354">
              <w:rPr>
                <w:rFonts w:ascii="Arial" w:hAnsi="Arial" w:cs="Arial"/>
                <w:lang w:val="en-US"/>
              </w:rPr>
              <w:t>+</w:t>
            </w:r>
            <w:r w:rsidRPr="00345354">
              <w:rPr>
                <w:rFonts w:ascii="Arial" w:hAnsi="Arial" w:cs="Arial"/>
                <w:lang w:val="en-US"/>
              </w:rPr>
              <w:t>RL</w:t>
            </w:r>
            <w:r w:rsidR="002E11DB" w:rsidRPr="00345354">
              <w:rPr>
                <w:rFonts w:ascii="Arial" w:hAnsi="Arial" w:cs="Arial"/>
                <w:lang w:val="en-US"/>
              </w:rPr>
              <w:t>)</w:t>
            </w:r>
          </w:p>
        </w:tc>
        <w:tc>
          <w:tcPr>
            <w:tcW w:w="842" w:type="dxa"/>
          </w:tcPr>
          <w:p w14:paraId="459FD61C" w14:textId="77777777" w:rsidR="002F02F4" w:rsidRPr="00345354" w:rsidRDefault="002F02F4" w:rsidP="004D4950">
            <w:pPr>
              <w:jc w:val="both"/>
              <w:rPr>
                <w:rFonts w:ascii="Arial" w:hAnsi="Arial" w:cs="Arial"/>
                <w:lang w:val="en-US"/>
              </w:rPr>
            </w:pPr>
          </w:p>
        </w:tc>
        <w:tc>
          <w:tcPr>
            <w:tcW w:w="841" w:type="dxa"/>
          </w:tcPr>
          <w:p w14:paraId="1FE5BA81" w14:textId="77777777" w:rsidR="002F02F4" w:rsidRPr="00345354" w:rsidRDefault="002F02F4" w:rsidP="004D4950">
            <w:pPr>
              <w:jc w:val="both"/>
              <w:rPr>
                <w:rFonts w:ascii="Arial" w:hAnsi="Arial" w:cs="Arial"/>
                <w:lang w:val="en-US"/>
              </w:rPr>
            </w:pPr>
          </w:p>
        </w:tc>
        <w:tc>
          <w:tcPr>
            <w:tcW w:w="847" w:type="dxa"/>
          </w:tcPr>
          <w:p w14:paraId="4B30A188" w14:textId="77777777" w:rsidR="002F02F4" w:rsidRPr="00345354" w:rsidRDefault="002F02F4" w:rsidP="004D4950">
            <w:pPr>
              <w:jc w:val="both"/>
              <w:rPr>
                <w:rFonts w:ascii="Arial" w:hAnsi="Arial" w:cs="Arial"/>
                <w:lang w:val="en-US"/>
              </w:rPr>
            </w:pPr>
          </w:p>
        </w:tc>
      </w:tr>
      <w:tr w:rsidR="00311AAC" w:rsidRPr="00345354" w14:paraId="2BF3D992" w14:textId="77777777" w:rsidTr="00E61FBC">
        <w:tc>
          <w:tcPr>
            <w:tcW w:w="6190" w:type="dxa"/>
          </w:tcPr>
          <w:p w14:paraId="7540ABAF" w14:textId="2411C57E" w:rsidR="002F02F4" w:rsidRPr="00345354" w:rsidRDefault="00E61FBC" w:rsidP="00E61FBC">
            <w:pPr>
              <w:jc w:val="both"/>
              <w:rPr>
                <w:rFonts w:ascii="Arial" w:hAnsi="Arial" w:cs="Arial"/>
                <w:lang w:val="en-US"/>
              </w:rPr>
            </w:pPr>
            <w:r w:rsidRPr="00345354">
              <w:rPr>
                <w:rFonts w:ascii="Arial" w:hAnsi="Arial" w:cs="Arial"/>
                <w:lang w:val="en-US"/>
              </w:rPr>
              <w:t>Interest income</w:t>
            </w:r>
          </w:p>
        </w:tc>
        <w:tc>
          <w:tcPr>
            <w:tcW w:w="842" w:type="dxa"/>
          </w:tcPr>
          <w:p w14:paraId="4D074AC4" w14:textId="77777777" w:rsidR="002F02F4" w:rsidRPr="00345354" w:rsidRDefault="002F02F4" w:rsidP="004D4950">
            <w:pPr>
              <w:jc w:val="both"/>
              <w:rPr>
                <w:rFonts w:ascii="Arial" w:hAnsi="Arial" w:cs="Arial"/>
                <w:lang w:val="en-US"/>
              </w:rPr>
            </w:pPr>
          </w:p>
        </w:tc>
        <w:tc>
          <w:tcPr>
            <w:tcW w:w="841" w:type="dxa"/>
          </w:tcPr>
          <w:p w14:paraId="2BCC1426" w14:textId="77777777" w:rsidR="002F02F4" w:rsidRPr="00345354" w:rsidRDefault="002F02F4" w:rsidP="004D4950">
            <w:pPr>
              <w:jc w:val="both"/>
              <w:rPr>
                <w:rFonts w:ascii="Arial" w:hAnsi="Arial" w:cs="Arial"/>
                <w:lang w:val="en-US"/>
              </w:rPr>
            </w:pPr>
          </w:p>
        </w:tc>
        <w:tc>
          <w:tcPr>
            <w:tcW w:w="847" w:type="dxa"/>
          </w:tcPr>
          <w:p w14:paraId="4F2DD291" w14:textId="77777777" w:rsidR="002F02F4" w:rsidRPr="00345354" w:rsidRDefault="002F02F4" w:rsidP="004D4950">
            <w:pPr>
              <w:jc w:val="both"/>
              <w:rPr>
                <w:rFonts w:ascii="Arial" w:hAnsi="Arial" w:cs="Arial"/>
                <w:lang w:val="en-US"/>
              </w:rPr>
            </w:pPr>
          </w:p>
        </w:tc>
      </w:tr>
      <w:tr w:rsidR="00311AAC" w:rsidRPr="00345354" w14:paraId="3CE4A575" w14:textId="77777777" w:rsidTr="00E61FBC">
        <w:tc>
          <w:tcPr>
            <w:tcW w:w="6190" w:type="dxa"/>
          </w:tcPr>
          <w:p w14:paraId="44EE8829" w14:textId="20934F6D" w:rsidR="002F02F4" w:rsidRPr="00345354" w:rsidRDefault="00E61FBC" w:rsidP="00E61FBC">
            <w:pPr>
              <w:jc w:val="both"/>
              <w:rPr>
                <w:rFonts w:ascii="Arial" w:hAnsi="Arial" w:cs="Arial"/>
                <w:lang w:val="en-US"/>
              </w:rPr>
            </w:pPr>
            <w:r w:rsidRPr="00345354">
              <w:rPr>
                <w:rFonts w:ascii="Arial" w:hAnsi="Arial" w:cs="Arial"/>
                <w:lang w:val="en-US"/>
              </w:rPr>
              <w:t>Bad debt expenses</w:t>
            </w:r>
          </w:p>
        </w:tc>
        <w:tc>
          <w:tcPr>
            <w:tcW w:w="842" w:type="dxa"/>
          </w:tcPr>
          <w:p w14:paraId="0DEA69BC" w14:textId="77777777" w:rsidR="002F02F4" w:rsidRPr="00345354" w:rsidRDefault="002F02F4" w:rsidP="004D4950">
            <w:pPr>
              <w:jc w:val="both"/>
              <w:rPr>
                <w:rFonts w:ascii="Arial" w:hAnsi="Arial" w:cs="Arial"/>
                <w:lang w:val="en-US"/>
              </w:rPr>
            </w:pPr>
          </w:p>
        </w:tc>
        <w:tc>
          <w:tcPr>
            <w:tcW w:w="841" w:type="dxa"/>
          </w:tcPr>
          <w:p w14:paraId="74E706CB" w14:textId="77777777" w:rsidR="002F02F4" w:rsidRPr="00345354" w:rsidRDefault="002F02F4" w:rsidP="004D4950">
            <w:pPr>
              <w:jc w:val="both"/>
              <w:rPr>
                <w:rFonts w:ascii="Arial" w:hAnsi="Arial" w:cs="Arial"/>
                <w:lang w:val="en-US"/>
              </w:rPr>
            </w:pPr>
          </w:p>
        </w:tc>
        <w:tc>
          <w:tcPr>
            <w:tcW w:w="847" w:type="dxa"/>
          </w:tcPr>
          <w:p w14:paraId="5DFC8E1C" w14:textId="77777777" w:rsidR="002F02F4" w:rsidRPr="00345354" w:rsidRDefault="002F02F4" w:rsidP="004D4950">
            <w:pPr>
              <w:jc w:val="both"/>
              <w:rPr>
                <w:rFonts w:ascii="Arial" w:hAnsi="Arial" w:cs="Arial"/>
                <w:lang w:val="en-US"/>
              </w:rPr>
            </w:pPr>
          </w:p>
        </w:tc>
      </w:tr>
      <w:tr w:rsidR="00311AAC" w:rsidRPr="00345354" w14:paraId="076A2B7B" w14:textId="77777777" w:rsidTr="00E61FBC">
        <w:tc>
          <w:tcPr>
            <w:tcW w:w="6190" w:type="dxa"/>
          </w:tcPr>
          <w:p w14:paraId="2AAC58D0" w14:textId="340D6B27" w:rsidR="002F02F4" w:rsidRPr="00345354" w:rsidRDefault="00E61FBC" w:rsidP="00E61FBC">
            <w:pPr>
              <w:jc w:val="both"/>
              <w:rPr>
                <w:rFonts w:ascii="Arial" w:hAnsi="Arial" w:cs="Arial"/>
                <w:bCs/>
                <w:lang w:val="en-US"/>
              </w:rPr>
            </w:pPr>
            <w:r w:rsidRPr="00345354">
              <w:rPr>
                <w:rFonts w:ascii="Arial" w:hAnsi="Arial" w:cs="Arial"/>
                <w:bCs/>
                <w:lang w:val="en-US"/>
              </w:rPr>
              <w:t>Profit for the period</w:t>
            </w:r>
          </w:p>
        </w:tc>
        <w:tc>
          <w:tcPr>
            <w:tcW w:w="842" w:type="dxa"/>
          </w:tcPr>
          <w:p w14:paraId="30D7FF33" w14:textId="77777777" w:rsidR="002F02F4" w:rsidRPr="00345354" w:rsidRDefault="002F02F4" w:rsidP="004D4950">
            <w:pPr>
              <w:jc w:val="both"/>
              <w:rPr>
                <w:rFonts w:ascii="Arial" w:hAnsi="Arial" w:cs="Arial"/>
                <w:lang w:val="en-US"/>
              </w:rPr>
            </w:pPr>
          </w:p>
        </w:tc>
        <w:tc>
          <w:tcPr>
            <w:tcW w:w="841" w:type="dxa"/>
          </w:tcPr>
          <w:p w14:paraId="696626FC" w14:textId="77777777" w:rsidR="002F02F4" w:rsidRPr="00345354" w:rsidRDefault="002F02F4" w:rsidP="004D4950">
            <w:pPr>
              <w:jc w:val="both"/>
              <w:rPr>
                <w:rFonts w:ascii="Arial" w:hAnsi="Arial" w:cs="Arial"/>
                <w:lang w:val="en-US"/>
              </w:rPr>
            </w:pPr>
          </w:p>
        </w:tc>
        <w:tc>
          <w:tcPr>
            <w:tcW w:w="847" w:type="dxa"/>
          </w:tcPr>
          <w:p w14:paraId="0EF27B20" w14:textId="77777777" w:rsidR="002F02F4" w:rsidRPr="00345354" w:rsidRDefault="002F02F4" w:rsidP="004D4950">
            <w:pPr>
              <w:jc w:val="both"/>
              <w:rPr>
                <w:rFonts w:ascii="Arial" w:hAnsi="Arial" w:cs="Arial"/>
                <w:lang w:val="en-US"/>
              </w:rPr>
            </w:pPr>
          </w:p>
        </w:tc>
      </w:tr>
      <w:tr w:rsidR="00311AAC" w:rsidRPr="00345354" w14:paraId="3E34955A" w14:textId="77777777" w:rsidTr="00E61FBC">
        <w:tc>
          <w:tcPr>
            <w:tcW w:w="6190" w:type="dxa"/>
          </w:tcPr>
          <w:p w14:paraId="0F12D1A6" w14:textId="780E471C" w:rsidR="002E11DB" w:rsidRPr="00345354" w:rsidRDefault="00E61FBC" w:rsidP="00E61FBC">
            <w:pPr>
              <w:jc w:val="both"/>
              <w:rPr>
                <w:rFonts w:ascii="Arial" w:hAnsi="Arial" w:cs="Arial"/>
                <w:bCs/>
                <w:lang w:val="en-US"/>
              </w:rPr>
            </w:pPr>
            <w:r w:rsidRPr="00345354">
              <w:rPr>
                <w:rFonts w:ascii="Arial" w:hAnsi="Arial" w:cs="Arial"/>
                <w:bCs/>
                <w:lang w:val="en-US"/>
              </w:rPr>
              <w:t>Added capital requirements</w:t>
            </w:r>
          </w:p>
        </w:tc>
        <w:tc>
          <w:tcPr>
            <w:tcW w:w="842" w:type="dxa"/>
          </w:tcPr>
          <w:p w14:paraId="6001771D" w14:textId="77777777" w:rsidR="002E11DB" w:rsidRPr="00345354" w:rsidRDefault="002E11DB" w:rsidP="004D4950">
            <w:pPr>
              <w:jc w:val="both"/>
              <w:rPr>
                <w:rFonts w:ascii="Arial" w:hAnsi="Arial" w:cs="Arial"/>
                <w:lang w:val="en-US"/>
              </w:rPr>
            </w:pPr>
          </w:p>
        </w:tc>
        <w:tc>
          <w:tcPr>
            <w:tcW w:w="841" w:type="dxa"/>
          </w:tcPr>
          <w:p w14:paraId="33437B03" w14:textId="77777777" w:rsidR="002E11DB" w:rsidRPr="00345354" w:rsidRDefault="002E11DB" w:rsidP="004D4950">
            <w:pPr>
              <w:jc w:val="both"/>
              <w:rPr>
                <w:rFonts w:ascii="Arial" w:hAnsi="Arial" w:cs="Arial"/>
                <w:lang w:val="en-US"/>
              </w:rPr>
            </w:pPr>
          </w:p>
        </w:tc>
        <w:tc>
          <w:tcPr>
            <w:tcW w:w="847" w:type="dxa"/>
          </w:tcPr>
          <w:p w14:paraId="3ED2F603" w14:textId="77777777" w:rsidR="002E11DB" w:rsidRPr="00345354" w:rsidRDefault="002E11DB" w:rsidP="004D4950">
            <w:pPr>
              <w:jc w:val="both"/>
              <w:rPr>
                <w:rFonts w:ascii="Arial" w:hAnsi="Arial" w:cs="Arial"/>
                <w:lang w:val="en-US"/>
              </w:rPr>
            </w:pPr>
          </w:p>
        </w:tc>
      </w:tr>
      <w:tr w:rsidR="00311AAC" w:rsidRPr="0054235D" w14:paraId="4DD02E95" w14:textId="77777777" w:rsidTr="00E61FBC">
        <w:tc>
          <w:tcPr>
            <w:tcW w:w="6190" w:type="dxa"/>
          </w:tcPr>
          <w:p w14:paraId="02526362" w14:textId="55C51DC2" w:rsidR="002F02F4" w:rsidRPr="00345354" w:rsidRDefault="00E61FBC" w:rsidP="00E61FBC">
            <w:pPr>
              <w:jc w:val="both"/>
              <w:rPr>
                <w:rFonts w:ascii="Arial" w:hAnsi="Arial" w:cs="Arial"/>
                <w:lang w:val="en-US"/>
              </w:rPr>
            </w:pPr>
            <w:r w:rsidRPr="00345354">
              <w:rPr>
                <w:rFonts w:ascii="Arial" w:hAnsi="Arial" w:cs="Arial"/>
                <w:lang w:val="en-US"/>
              </w:rPr>
              <w:t>Credit risk and counterparty risk requirement</w:t>
            </w:r>
          </w:p>
        </w:tc>
        <w:tc>
          <w:tcPr>
            <w:tcW w:w="842" w:type="dxa"/>
          </w:tcPr>
          <w:p w14:paraId="2DBB573B" w14:textId="77777777" w:rsidR="002F02F4" w:rsidRPr="00345354" w:rsidRDefault="002F02F4" w:rsidP="004D4950">
            <w:pPr>
              <w:jc w:val="both"/>
              <w:rPr>
                <w:rFonts w:ascii="Arial" w:hAnsi="Arial" w:cs="Arial"/>
                <w:lang w:val="en-US"/>
              </w:rPr>
            </w:pPr>
          </w:p>
        </w:tc>
        <w:tc>
          <w:tcPr>
            <w:tcW w:w="841" w:type="dxa"/>
          </w:tcPr>
          <w:p w14:paraId="070E47DC" w14:textId="77777777" w:rsidR="002F02F4" w:rsidRPr="00345354" w:rsidRDefault="002F02F4" w:rsidP="004D4950">
            <w:pPr>
              <w:jc w:val="both"/>
              <w:rPr>
                <w:rFonts w:ascii="Arial" w:hAnsi="Arial" w:cs="Arial"/>
                <w:lang w:val="en-US"/>
              </w:rPr>
            </w:pPr>
          </w:p>
        </w:tc>
        <w:tc>
          <w:tcPr>
            <w:tcW w:w="847" w:type="dxa"/>
          </w:tcPr>
          <w:p w14:paraId="49E769BC" w14:textId="77777777" w:rsidR="002F02F4" w:rsidRPr="00345354" w:rsidRDefault="002F02F4" w:rsidP="004D4950">
            <w:pPr>
              <w:jc w:val="both"/>
              <w:rPr>
                <w:rFonts w:ascii="Arial" w:hAnsi="Arial" w:cs="Arial"/>
                <w:lang w:val="en-US"/>
              </w:rPr>
            </w:pPr>
          </w:p>
        </w:tc>
      </w:tr>
      <w:tr w:rsidR="00311AAC" w:rsidRPr="00345354" w14:paraId="7DEB9E1A" w14:textId="77777777" w:rsidTr="00E61FBC">
        <w:tc>
          <w:tcPr>
            <w:tcW w:w="6190" w:type="dxa"/>
          </w:tcPr>
          <w:p w14:paraId="4697E970" w14:textId="15B3DDEF" w:rsidR="002F02F4" w:rsidRPr="00345354" w:rsidRDefault="00E61FBC" w:rsidP="00E61FBC">
            <w:pPr>
              <w:jc w:val="both"/>
              <w:rPr>
                <w:rFonts w:ascii="Arial" w:hAnsi="Arial" w:cs="Arial"/>
                <w:lang w:val="en-US"/>
              </w:rPr>
            </w:pPr>
            <w:r w:rsidRPr="00345354">
              <w:rPr>
                <w:rFonts w:ascii="Arial" w:hAnsi="Arial" w:cs="Arial"/>
                <w:lang w:val="en-US"/>
              </w:rPr>
              <w:t>Market risk requirement</w:t>
            </w:r>
          </w:p>
        </w:tc>
        <w:tc>
          <w:tcPr>
            <w:tcW w:w="842" w:type="dxa"/>
          </w:tcPr>
          <w:p w14:paraId="4CE34953" w14:textId="77777777" w:rsidR="002F02F4" w:rsidRPr="00345354" w:rsidRDefault="002F02F4" w:rsidP="004D4950">
            <w:pPr>
              <w:jc w:val="both"/>
              <w:rPr>
                <w:rFonts w:ascii="Arial" w:hAnsi="Arial" w:cs="Arial"/>
                <w:lang w:val="en-US"/>
              </w:rPr>
            </w:pPr>
          </w:p>
        </w:tc>
        <w:tc>
          <w:tcPr>
            <w:tcW w:w="841" w:type="dxa"/>
          </w:tcPr>
          <w:p w14:paraId="4680D49C" w14:textId="77777777" w:rsidR="002F02F4" w:rsidRPr="00345354" w:rsidRDefault="002F02F4" w:rsidP="004D4950">
            <w:pPr>
              <w:jc w:val="both"/>
              <w:rPr>
                <w:rFonts w:ascii="Arial" w:hAnsi="Arial" w:cs="Arial"/>
                <w:lang w:val="en-US"/>
              </w:rPr>
            </w:pPr>
          </w:p>
        </w:tc>
        <w:tc>
          <w:tcPr>
            <w:tcW w:w="847" w:type="dxa"/>
          </w:tcPr>
          <w:p w14:paraId="57694E3F" w14:textId="77777777" w:rsidR="002F02F4" w:rsidRPr="00345354" w:rsidRDefault="002F02F4" w:rsidP="004D4950">
            <w:pPr>
              <w:jc w:val="both"/>
              <w:rPr>
                <w:rFonts w:ascii="Arial" w:hAnsi="Arial" w:cs="Arial"/>
                <w:lang w:val="en-US"/>
              </w:rPr>
            </w:pPr>
          </w:p>
        </w:tc>
      </w:tr>
      <w:tr w:rsidR="00311AAC" w:rsidRPr="00345354" w14:paraId="104583AE" w14:textId="77777777" w:rsidTr="00E61FBC">
        <w:tc>
          <w:tcPr>
            <w:tcW w:w="6190" w:type="dxa"/>
          </w:tcPr>
          <w:p w14:paraId="531D35C5" w14:textId="733432BC" w:rsidR="002F02F4" w:rsidRPr="00345354" w:rsidRDefault="00E61FBC" w:rsidP="00E61FBC">
            <w:pPr>
              <w:jc w:val="both"/>
              <w:rPr>
                <w:rFonts w:ascii="Arial" w:hAnsi="Arial" w:cs="Arial"/>
                <w:lang w:val="en-US"/>
              </w:rPr>
            </w:pPr>
            <w:r w:rsidRPr="00345354">
              <w:rPr>
                <w:rFonts w:ascii="Arial" w:hAnsi="Arial" w:cs="Arial"/>
                <w:lang w:val="en-US"/>
              </w:rPr>
              <w:t>Operational risk requirement</w:t>
            </w:r>
          </w:p>
        </w:tc>
        <w:tc>
          <w:tcPr>
            <w:tcW w:w="842" w:type="dxa"/>
          </w:tcPr>
          <w:p w14:paraId="22A496D1" w14:textId="77777777" w:rsidR="002F02F4" w:rsidRPr="00345354" w:rsidRDefault="002F02F4" w:rsidP="004D4950">
            <w:pPr>
              <w:jc w:val="both"/>
              <w:rPr>
                <w:rFonts w:ascii="Arial" w:hAnsi="Arial" w:cs="Arial"/>
                <w:lang w:val="en-US"/>
              </w:rPr>
            </w:pPr>
          </w:p>
        </w:tc>
        <w:tc>
          <w:tcPr>
            <w:tcW w:w="841" w:type="dxa"/>
          </w:tcPr>
          <w:p w14:paraId="1F3A9802" w14:textId="77777777" w:rsidR="002F02F4" w:rsidRPr="00345354" w:rsidRDefault="002F02F4" w:rsidP="004D4950">
            <w:pPr>
              <w:jc w:val="both"/>
              <w:rPr>
                <w:rFonts w:ascii="Arial" w:hAnsi="Arial" w:cs="Arial"/>
                <w:lang w:val="en-US"/>
              </w:rPr>
            </w:pPr>
          </w:p>
        </w:tc>
        <w:tc>
          <w:tcPr>
            <w:tcW w:w="847" w:type="dxa"/>
          </w:tcPr>
          <w:p w14:paraId="25E65487" w14:textId="77777777" w:rsidR="002F02F4" w:rsidRPr="00345354" w:rsidRDefault="002F02F4" w:rsidP="004D4950">
            <w:pPr>
              <w:jc w:val="both"/>
              <w:rPr>
                <w:rFonts w:ascii="Arial" w:hAnsi="Arial" w:cs="Arial"/>
                <w:lang w:val="en-US"/>
              </w:rPr>
            </w:pPr>
          </w:p>
        </w:tc>
      </w:tr>
      <w:tr w:rsidR="00311AAC" w:rsidRPr="00914F59" w14:paraId="4CA07FB5" w14:textId="77777777" w:rsidTr="00E61FBC">
        <w:tc>
          <w:tcPr>
            <w:tcW w:w="6190" w:type="dxa"/>
          </w:tcPr>
          <w:p w14:paraId="55D96C5F" w14:textId="5011BBC4" w:rsidR="002E11DB" w:rsidRPr="00345354" w:rsidRDefault="0097767A" w:rsidP="00E61FBC">
            <w:pPr>
              <w:jc w:val="both"/>
              <w:rPr>
                <w:rFonts w:ascii="Arial" w:hAnsi="Arial" w:cs="Arial"/>
                <w:lang w:val="en-US"/>
              </w:rPr>
            </w:pPr>
            <w:r>
              <w:rPr>
                <w:rFonts w:ascii="Arial" w:hAnsi="Arial" w:cs="Arial"/>
                <w:lang w:val="en-US"/>
              </w:rPr>
              <w:t>Other identified risks requirement</w:t>
            </w:r>
          </w:p>
        </w:tc>
        <w:tc>
          <w:tcPr>
            <w:tcW w:w="842" w:type="dxa"/>
          </w:tcPr>
          <w:p w14:paraId="111F6144" w14:textId="77777777" w:rsidR="002E11DB" w:rsidRPr="00345354" w:rsidRDefault="002E11DB" w:rsidP="004D4950">
            <w:pPr>
              <w:jc w:val="both"/>
              <w:rPr>
                <w:rFonts w:ascii="Arial" w:hAnsi="Arial" w:cs="Arial"/>
                <w:lang w:val="en-US"/>
              </w:rPr>
            </w:pPr>
          </w:p>
        </w:tc>
        <w:tc>
          <w:tcPr>
            <w:tcW w:w="841" w:type="dxa"/>
          </w:tcPr>
          <w:p w14:paraId="7BE31EA1" w14:textId="77777777" w:rsidR="002E11DB" w:rsidRPr="00345354" w:rsidRDefault="002E11DB" w:rsidP="004D4950">
            <w:pPr>
              <w:jc w:val="both"/>
              <w:rPr>
                <w:rFonts w:ascii="Arial" w:hAnsi="Arial" w:cs="Arial"/>
                <w:lang w:val="en-US"/>
              </w:rPr>
            </w:pPr>
          </w:p>
        </w:tc>
        <w:tc>
          <w:tcPr>
            <w:tcW w:w="847" w:type="dxa"/>
          </w:tcPr>
          <w:p w14:paraId="531AF7C7" w14:textId="77777777" w:rsidR="002E11DB" w:rsidRPr="00345354" w:rsidRDefault="002E11DB" w:rsidP="004D4950">
            <w:pPr>
              <w:jc w:val="both"/>
              <w:rPr>
                <w:rFonts w:ascii="Arial" w:hAnsi="Arial" w:cs="Arial"/>
                <w:lang w:val="en-US"/>
              </w:rPr>
            </w:pPr>
          </w:p>
        </w:tc>
      </w:tr>
      <w:tr w:rsidR="00311AAC" w:rsidRPr="00345354" w14:paraId="17BA20DF" w14:textId="77777777" w:rsidTr="00E61FBC">
        <w:tc>
          <w:tcPr>
            <w:tcW w:w="6190" w:type="dxa"/>
          </w:tcPr>
          <w:p w14:paraId="44502A9B" w14:textId="2845F6EF" w:rsidR="002E11DB" w:rsidRPr="00345354" w:rsidRDefault="00614832" w:rsidP="00614832">
            <w:pPr>
              <w:jc w:val="both"/>
              <w:rPr>
                <w:rFonts w:ascii="Arial" w:hAnsi="Arial" w:cs="Arial"/>
                <w:lang w:val="en-US"/>
              </w:rPr>
            </w:pPr>
            <w:r w:rsidRPr="00345354">
              <w:rPr>
                <w:rFonts w:ascii="Arial" w:hAnsi="Arial" w:cs="Arial"/>
                <w:lang w:val="en-US"/>
              </w:rPr>
              <w:t>Projected capital funds</w:t>
            </w:r>
          </w:p>
        </w:tc>
        <w:tc>
          <w:tcPr>
            <w:tcW w:w="842" w:type="dxa"/>
          </w:tcPr>
          <w:p w14:paraId="527F4CB5" w14:textId="77777777" w:rsidR="002E11DB" w:rsidRPr="00345354" w:rsidRDefault="002E11DB" w:rsidP="004D4950">
            <w:pPr>
              <w:jc w:val="both"/>
              <w:rPr>
                <w:rFonts w:ascii="Arial" w:hAnsi="Arial" w:cs="Arial"/>
                <w:lang w:val="en-US"/>
              </w:rPr>
            </w:pPr>
          </w:p>
        </w:tc>
        <w:tc>
          <w:tcPr>
            <w:tcW w:w="841" w:type="dxa"/>
          </w:tcPr>
          <w:p w14:paraId="78AE91C5" w14:textId="77777777" w:rsidR="002E11DB" w:rsidRPr="00345354" w:rsidRDefault="002E11DB" w:rsidP="004D4950">
            <w:pPr>
              <w:jc w:val="both"/>
              <w:rPr>
                <w:rFonts w:ascii="Arial" w:hAnsi="Arial" w:cs="Arial"/>
                <w:lang w:val="en-US"/>
              </w:rPr>
            </w:pPr>
          </w:p>
        </w:tc>
        <w:tc>
          <w:tcPr>
            <w:tcW w:w="847" w:type="dxa"/>
          </w:tcPr>
          <w:p w14:paraId="5C1B207C" w14:textId="77777777" w:rsidR="002E11DB" w:rsidRPr="00345354" w:rsidRDefault="002E11DB" w:rsidP="004D4950">
            <w:pPr>
              <w:jc w:val="both"/>
              <w:rPr>
                <w:rFonts w:ascii="Arial" w:hAnsi="Arial" w:cs="Arial"/>
                <w:lang w:val="en-US"/>
              </w:rPr>
            </w:pPr>
          </w:p>
        </w:tc>
      </w:tr>
      <w:tr w:rsidR="00311AAC" w:rsidRPr="0054235D" w14:paraId="18B32AB5" w14:textId="77777777" w:rsidTr="00E61FBC">
        <w:tc>
          <w:tcPr>
            <w:tcW w:w="6190" w:type="dxa"/>
          </w:tcPr>
          <w:p w14:paraId="5A8BCD19" w14:textId="030B54F9" w:rsidR="002E11DB" w:rsidRPr="00345354" w:rsidRDefault="00614832" w:rsidP="00614832">
            <w:pPr>
              <w:jc w:val="both"/>
              <w:rPr>
                <w:rFonts w:ascii="Arial" w:hAnsi="Arial" w:cs="Arial"/>
                <w:lang w:val="en-US"/>
              </w:rPr>
            </w:pPr>
            <w:r w:rsidRPr="00345354">
              <w:rPr>
                <w:rFonts w:ascii="Arial" w:hAnsi="Arial" w:cs="Arial"/>
                <w:lang w:val="en-US"/>
              </w:rPr>
              <w:t>Projected common tier one capital net of adjustments</w:t>
            </w:r>
          </w:p>
        </w:tc>
        <w:tc>
          <w:tcPr>
            <w:tcW w:w="842" w:type="dxa"/>
          </w:tcPr>
          <w:p w14:paraId="404819DD" w14:textId="77777777" w:rsidR="002E11DB" w:rsidRPr="00345354" w:rsidRDefault="002E11DB" w:rsidP="004D4950">
            <w:pPr>
              <w:jc w:val="both"/>
              <w:rPr>
                <w:rFonts w:ascii="Arial" w:hAnsi="Arial" w:cs="Arial"/>
                <w:lang w:val="en-US"/>
              </w:rPr>
            </w:pPr>
          </w:p>
        </w:tc>
        <w:tc>
          <w:tcPr>
            <w:tcW w:w="841" w:type="dxa"/>
          </w:tcPr>
          <w:p w14:paraId="29150EB3" w14:textId="77777777" w:rsidR="002E11DB" w:rsidRPr="00345354" w:rsidRDefault="002E11DB" w:rsidP="004D4950">
            <w:pPr>
              <w:jc w:val="both"/>
              <w:rPr>
                <w:rFonts w:ascii="Arial" w:hAnsi="Arial" w:cs="Arial"/>
                <w:lang w:val="en-US"/>
              </w:rPr>
            </w:pPr>
          </w:p>
        </w:tc>
        <w:tc>
          <w:tcPr>
            <w:tcW w:w="847" w:type="dxa"/>
          </w:tcPr>
          <w:p w14:paraId="27E1B395" w14:textId="77777777" w:rsidR="002E11DB" w:rsidRPr="00345354" w:rsidRDefault="002E11DB" w:rsidP="004D4950">
            <w:pPr>
              <w:jc w:val="both"/>
              <w:rPr>
                <w:rFonts w:ascii="Arial" w:hAnsi="Arial" w:cs="Arial"/>
                <w:lang w:val="en-US"/>
              </w:rPr>
            </w:pPr>
          </w:p>
        </w:tc>
      </w:tr>
      <w:tr w:rsidR="00311AAC" w:rsidRPr="0054235D" w14:paraId="1000506B" w14:textId="77777777" w:rsidTr="00E61FBC">
        <w:tc>
          <w:tcPr>
            <w:tcW w:w="6190" w:type="dxa"/>
          </w:tcPr>
          <w:p w14:paraId="2C7A117C" w14:textId="38F23C20" w:rsidR="002E11DB" w:rsidRPr="00345354" w:rsidRDefault="00614832" w:rsidP="00614832">
            <w:pPr>
              <w:jc w:val="both"/>
              <w:rPr>
                <w:rFonts w:ascii="Arial" w:hAnsi="Arial" w:cs="Arial"/>
                <w:lang w:val="en-US"/>
              </w:rPr>
            </w:pPr>
            <w:r w:rsidRPr="00345354">
              <w:rPr>
                <w:rFonts w:ascii="Arial" w:hAnsi="Arial" w:cs="Arial"/>
                <w:lang w:val="en-US"/>
              </w:rPr>
              <w:t>Projected additional tier one capital net of adjustments</w:t>
            </w:r>
          </w:p>
        </w:tc>
        <w:tc>
          <w:tcPr>
            <w:tcW w:w="842" w:type="dxa"/>
          </w:tcPr>
          <w:p w14:paraId="61FD9092" w14:textId="77777777" w:rsidR="002E11DB" w:rsidRPr="00345354" w:rsidRDefault="002E11DB" w:rsidP="004D4950">
            <w:pPr>
              <w:jc w:val="both"/>
              <w:rPr>
                <w:rFonts w:ascii="Arial" w:hAnsi="Arial" w:cs="Arial"/>
                <w:lang w:val="en-US"/>
              </w:rPr>
            </w:pPr>
          </w:p>
        </w:tc>
        <w:tc>
          <w:tcPr>
            <w:tcW w:w="841" w:type="dxa"/>
          </w:tcPr>
          <w:p w14:paraId="57A018AA" w14:textId="77777777" w:rsidR="002E11DB" w:rsidRPr="00345354" w:rsidRDefault="002E11DB" w:rsidP="004D4950">
            <w:pPr>
              <w:jc w:val="both"/>
              <w:rPr>
                <w:rFonts w:ascii="Arial" w:hAnsi="Arial" w:cs="Arial"/>
                <w:lang w:val="en-US"/>
              </w:rPr>
            </w:pPr>
          </w:p>
        </w:tc>
        <w:tc>
          <w:tcPr>
            <w:tcW w:w="847" w:type="dxa"/>
          </w:tcPr>
          <w:p w14:paraId="33DF139D" w14:textId="77777777" w:rsidR="002E11DB" w:rsidRPr="00345354" w:rsidRDefault="002E11DB" w:rsidP="004D4950">
            <w:pPr>
              <w:jc w:val="both"/>
              <w:rPr>
                <w:rFonts w:ascii="Arial" w:hAnsi="Arial" w:cs="Arial"/>
                <w:lang w:val="en-US"/>
              </w:rPr>
            </w:pPr>
          </w:p>
        </w:tc>
      </w:tr>
      <w:tr w:rsidR="00311AAC" w:rsidRPr="0054235D" w14:paraId="4877349B" w14:textId="77777777" w:rsidTr="00E61FBC">
        <w:tc>
          <w:tcPr>
            <w:tcW w:w="6190" w:type="dxa"/>
          </w:tcPr>
          <w:p w14:paraId="7719DF4D" w14:textId="2007CCA1" w:rsidR="002E11DB" w:rsidRPr="00345354" w:rsidRDefault="00614832" w:rsidP="00614832">
            <w:pPr>
              <w:jc w:val="both"/>
              <w:rPr>
                <w:rFonts w:ascii="Arial" w:hAnsi="Arial" w:cs="Arial"/>
                <w:lang w:val="en-US"/>
              </w:rPr>
            </w:pPr>
            <w:r w:rsidRPr="00345354">
              <w:rPr>
                <w:rFonts w:ascii="Arial" w:hAnsi="Arial" w:cs="Arial"/>
                <w:lang w:val="en-US"/>
              </w:rPr>
              <w:t>Projected tier two capital net of adjustments</w:t>
            </w:r>
          </w:p>
        </w:tc>
        <w:tc>
          <w:tcPr>
            <w:tcW w:w="842" w:type="dxa"/>
          </w:tcPr>
          <w:p w14:paraId="36988349" w14:textId="77777777" w:rsidR="002E11DB" w:rsidRPr="00345354" w:rsidRDefault="002E11DB" w:rsidP="004D4950">
            <w:pPr>
              <w:jc w:val="both"/>
              <w:rPr>
                <w:rFonts w:ascii="Arial" w:hAnsi="Arial" w:cs="Arial"/>
                <w:lang w:val="en-US"/>
              </w:rPr>
            </w:pPr>
          </w:p>
        </w:tc>
        <w:tc>
          <w:tcPr>
            <w:tcW w:w="841" w:type="dxa"/>
          </w:tcPr>
          <w:p w14:paraId="13F15A2B" w14:textId="77777777" w:rsidR="002E11DB" w:rsidRPr="00345354" w:rsidRDefault="002E11DB" w:rsidP="004D4950">
            <w:pPr>
              <w:jc w:val="both"/>
              <w:rPr>
                <w:rFonts w:ascii="Arial" w:hAnsi="Arial" w:cs="Arial"/>
                <w:lang w:val="en-US"/>
              </w:rPr>
            </w:pPr>
          </w:p>
        </w:tc>
        <w:tc>
          <w:tcPr>
            <w:tcW w:w="847" w:type="dxa"/>
          </w:tcPr>
          <w:p w14:paraId="2D1CE483" w14:textId="77777777" w:rsidR="002E11DB" w:rsidRPr="00345354" w:rsidRDefault="002E11DB" w:rsidP="004D4950">
            <w:pPr>
              <w:jc w:val="both"/>
              <w:rPr>
                <w:rFonts w:ascii="Arial" w:hAnsi="Arial" w:cs="Arial"/>
                <w:lang w:val="en-US"/>
              </w:rPr>
            </w:pPr>
          </w:p>
        </w:tc>
      </w:tr>
      <w:tr w:rsidR="002E11DB" w:rsidRPr="00345354" w14:paraId="3DE7B569" w14:textId="77777777" w:rsidTr="00E61FBC">
        <w:tc>
          <w:tcPr>
            <w:tcW w:w="6190" w:type="dxa"/>
          </w:tcPr>
          <w:p w14:paraId="2029EEEF" w14:textId="078609F8" w:rsidR="002E11DB" w:rsidRPr="00345354" w:rsidRDefault="00614832" w:rsidP="00614832">
            <w:pPr>
              <w:jc w:val="both"/>
              <w:rPr>
                <w:rFonts w:ascii="Arial" w:hAnsi="Arial" w:cs="Arial"/>
                <w:lang w:val="en-US"/>
              </w:rPr>
            </w:pPr>
            <w:r w:rsidRPr="00345354">
              <w:rPr>
                <w:rFonts w:ascii="Arial" w:hAnsi="Arial" w:cs="Arial"/>
                <w:lang w:val="en-US"/>
              </w:rPr>
              <w:t>Projected Capital Adequacy Ratio</w:t>
            </w:r>
          </w:p>
        </w:tc>
        <w:tc>
          <w:tcPr>
            <w:tcW w:w="842" w:type="dxa"/>
          </w:tcPr>
          <w:p w14:paraId="03C00B63" w14:textId="77777777" w:rsidR="002E11DB" w:rsidRPr="00345354" w:rsidRDefault="002E11DB" w:rsidP="004D4950">
            <w:pPr>
              <w:jc w:val="both"/>
              <w:rPr>
                <w:rFonts w:ascii="Arial" w:hAnsi="Arial" w:cs="Arial"/>
                <w:lang w:val="en-US"/>
              </w:rPr>
            </w:pPr>
          </w:p>
        </w:tc>
        <w:tc>
          <w:tcPr>
            <w:tcW w:w="841" w:type="dxa"/>
          </w:tcPr>
          <w:p w14:paraId="79819028" w14:textId="77777777" w:rsidR="002E11DB" w:rsidRPr="00345354" w:rsidRDefault="002E11DB" w:rsidP="004D4950">
            <w:pPr>
              <w:jc w:val="both"/>
              <w:rPr>
                <w:rFonts w:ascii="Arial" w:hAnsi="Arial" w:cs="Arial"/>
                <w:lang w:val="en-US"/>
              </w:rPr>
            </w:pPr>
          </w:p>
        </w:tc>
        <w:tc>
          <w:tcPr>
            <w:tcW w:w="847" w:type="dxa"/>
          </w:tcPr>
          <w:p w14:paraId="7A843B66" w14:textId="77777777" w:rsidR="002E11DB" w:rsidRPr="00345354" w:rsidRDefault="002E11DB" w:rsidP="004D4950">
            <w:pPr>
              <w:jc w:val="both"/>
              <w:rPr>
                <w:rFonts w:ascii="Arial" w:hAnsi="Arial" w:cs="Arial"/>
                <w:lang w:val="en-US"/>
              </w:rPr>
            </w:pPr>
          </w:p>
        </w:tc>
      </w:tr>
    </w:tbl>
    <w:p w14:paraId="7D2752A2" w14:textId="77777777" w:rsidR="00A17FF5" w:rsidRPr="00345354" w:rsidRDefault="00A17FF5" w:rsidP="004D4950">
      <w:pPr>
        <w:spacing w:after="0" w:line="240" w:lineRule="auto"/>
        <w:ind w:left="1410"/>
        <w:jc w:val="both"/>
        <w:rPr>
          <w:rFonts w:ascii="Arial" w:hAnsi="Arial" w:cs="Arial"/>
          <w:lang w:val="en-US"/>
        </w:rPr>
      </w:pPr>
    </w:p>
    <w:p w14:paraId="689A1AB8" w14:textId="32F23120" w:rsidR="006E7629" w:rsidRPr="00345354" w:rsidRDefault="00A17FF5" w:rsidP="004A177A">
      <w:pPr>
        <w:spacing w:after="0" w:line="240" w:lineRule="auto"/>
        <w:ind w:left="993" w:hanging="426"/>
        <w:jc w:val="both"/>
        <w:rPr>
          <w:rFonts w:ascii="Arial" w:hAnsi="Arial" w:cs="Arial"/>
          <w:b/>
          <w:lang w:val="en-US"/>
        </w:rPr>
      </w:pPr>
      <w:r w:rsidRPr="00345354">
        <w:rPr>
          <w:rFonts w:ascii="Arial" w:hAnsi="Arial" w:cs="Arial"/>
          <w:b/>
          <w:lang w:val="en-US"/>
        </w:rPr>
        <w:t xml:space="preserve">2.5. </w:t>
      </w:r>
      <w:r w:rsidR="004A177A" w:rsidRPr="00345354">
        <w:rPr>
          <w:rFonts w:ascii="Arial" w:hAnsi="Arial" w:cs="Arial"/>
          <w:b/>
          <w:lang w:val="en-US"/>
        </w:rPr>
        <w:t xml:space="preserve">  </w:t>
      </w:r>
      <w:r w:rsidR="00614832" w:rsidRPr="00345354">
        <w:rPr>
          <w:rFonts w:ascii="Arial" w:hAnsi="Arial" w:cs="Arial"/>
          <w:b/>
          <w:lang w:val="en-US"/>
        </w:rPr>
        <w:t>Conclusions</w:t>
      </w:r>
    </w:p>
    <w:p w14:paraId="0B019CC2" w14:textId="77777777" w:rsidR="003422CE" w:rsidRDefault="003422CE" w:rsidP="004A177A">
      <w:pPr>
        <w:spacing w:after="0" w:line="240" w:lineRule="auto"/>
        <w:ind w:left="1134"/>
        <w:jc w:val="both"/>
        <w:rPr>
          <w:rFonts w:ascii="Arial" w:hAnsi="Arial" w:cs="Arial"/>
          <w:lang w:val="en-US"/>
        </w:rPr>
      </w:pPr>
    </w:p>
    <w:p w14:paraId="1053614F" w14:textId="3036BC7A" w:rsidR="00614832" w:rsidRPr="00345354" w:rsidRDefault="00614832" w:rsidP="004A177A">
      <w:pPr>
        <w:spacing w:after="0" w:line="240" w:lineRule="auto"/>
        <w:ind w:left="1134"/>
        <w:jc w:val="both"/>
        <w:rPr>
          <w:rFonts w:ascii="Arial" w:hAnsi="Arial" w:cs="Arial"/>
          <w:lang w:val="en-US"/>
        </w:rPr>
      </w:pPr>
      <w:r w:rsidRPr="00345354">
        <w:rPr>
          <w:rFonts w:ascii="Arial" w:hAnsi="Arial" w:cs="Arial"/>
          <w:lang w:val="en-US"/>
        </w:rPr>
        <w:t>The bank must reevaluate (or co</w:t>
      </w:r>
      <w:r w:rsidR="002C1272">
        <w:rPr>
          <w:rFonts w:ascii="Arial" w:hAnsi="Arial" w:cs="Arial"/>
          <w:lang w:val="en-US"/>
        </w:rPr>
        <w:t xml:space="preserve">nfirm) the assumptions used in the </w:t>
      </w:r>
      <w:r w:rsidRPr="00345354">
        <w:rPr>
          <w:rFonts w:ascii="Arial" w:hAnsi="Arial" w:cs="Arial"/>
          <w:lang w:val="en-US"/>
        </w:rPr>
        <w:t xml:space="preserve">strategic planning (business </w:t>
      </w:r>
      <w:r w:rsidR="002C1272">
        <w:rPr>
          <w:rFonts w:ascii="Arial" w:hAnsi="Arial" w:cs="Arial"/>
          <w:lang w:val="en-US"/>
        </w:rPr>
        <w:t>and capital strengthening projections</w:t>
      </w:r>
      <w:r w:rsidRPr="00345354">
        <w:rPr>
          <w:rFonts w:ascii="Arial" w:hAnsi="Arial" w:cs="Arial"/>
          <w:lang w:val="en-US"/>
        </w:rPr>
        <w:t xml:space="preserve">) and its risk appetite, in view of the stress-testing and sensitivity analysis results. </w:t>
      </w:r>
    </w:p>
    <w:p w14:paraId="79AE90AB" w14:textId="77777777" w:rsidR="00614832" w:rsidRPr="00345354" w:rsidRDefault="00614832" w:rsidP="004A177A">
      <w:pPr>
        <w:spacing w:after="0" w:line="240" w:lineRule="auto"/>
        <w:ind w:left="1134"/>
        <w:jc w:val="both"/>
        <w:rPr>
          <w:rFonts w:ascii="Arial" w:hAnsi="Arial" w:cs="Arial"/>
          <w:lang w:val="en-US"/>
        </w:rPr>
      </w:pPr>
    </w:p>
    <w:p w14:paraId="38F0F425" w14:textId="13E7DF71" w:rsidR="00614832" w:rsidRPr="00345354" w:rsidRDefault="00614832" w:rsidP="004A177A">
      <w:pPr>
        <w:spacing w:after="0" w:line="240" w:lineRule="auto"/>
        <w:ind w:left="1134"/>
        <w:jc w:val="both"/>
        <w:rPr>
          <w:rFonts w:ascii="Arial" w:hAnsi="Arial" w:cs="Arial"/>
          <w:lang w:val="en-US"/>
        </w:rPr>
      </w:pPr>
      <w:r w:rsidRPr="00345354">
        <w:rPr>
          <w:rFonts w:ascii="Arial" w:hAnsi="Arial" w:cs="Arial"/>
          <w:lang w:val="en-US"/>
        </w:rPr>
        <w:t xml:space="preserve">Considering </w:t>
      </w:r>
      <w:r w:rsidR="002C1272">
        <w:rPr>
          <w:rFonts w:ascii="Arial" w:hAnsi="Arial" w:cs="Arial"/>
          <w:lang w:val="en-US"/>
        </w:rPr>
        <w:t xml:space="preserve">that </w:t>
      </w:r>
      <w:r w:rsidRPr="00345354">
        <w:rPr>
          <w:rFonts w:ascii="Arial" w:hAnsi="Arial" w:cs="Arial"/>
          <w:lang w:val="en-US"/>
        </w:rPr>
        <w:t>it is a three-year plan</w:t>
      </w:r>
      <w:r w:rsidR="002C1272">
        <w:rPr>
          <w:rFonts w:ascii="Arial" w:hAnsi="Arial" w:cs="Arial"/>
          <w:lang w:val="en-US"/>
        </w:rPr>
        <w:t>ning</w:t>
      </w:r>
      <w:r w:rsidRPr="00345354">
        <w:rPr>
          <w:rFonts w:ascii="Arial" w:hAnsi="Arial" w:cs="Arial"/>
          <w:lang w:val="en-US"/>
        </w:rPr>
        <w:t>, the bank may ad</w:t>
      </w:r>
      <w:r w:rsidR="002C1272">
        <w:rPr>
          <w:rFonts w:ascii="Arial" w:hAnsi="Arial" w:cs="Arial"/>
          <w:lang w:val="en-US"/>
        </w:rPr>
        <w:t>just its business or capital strengthening projections</w:t>
      </w:r>
      <w:r w:rsidRPr="00345354">
        <w:rPr>
          <w:rFonts w:ascii="Arial" w:hAnsi="Arial" w:cs="Arial"/>
          <w:lang w:val="en-US"/>
        </w:rPr>
        <w:t xml:space="preserve"> at any time, through </w:t>
      </w:r>
      <w:r w:rsidR="002C1272">
        <w:rPr>
          <w:rFonts w:ascii="Arial" w:hAnsi="Arial" w:cs="Arial"/>
          <w:lang w:val="en-US"/>
        </w:rPr>
        <w:t xml:space="preserve">various measures that should </w:t>
      </w:r>
      <w:r w:rsidRPr="00345354">
        <w:rPr>
          <w:rFonts w:ascii="Arial" w:hAnsi="Arial" w:cs="Arial"/>
          <w:lang w:val="en-US"/>
        </w:rPr>
        <w:t xml:space="preserve">be part of the supporting documentation </w:t>
      </w:r>
      <w:r w:rsidR="002C1272">
        <w:rPr>
          <w:rFonts w:ascii="Arial" w:hAnsi="Arial" w:cs="Arial"/>
          <w:lang w:val="en-US"/>
        </w:rPr>
        <w:t>for the</w:t>
      </w:r>
      <w:r w:rsidRPr="00345354">
        <w:rPr>
          <w:rFonts w:ascii="Arial" w:hAnsi="Arial" w:cs="Arial"/>
          <w:lang w:val="en-US"/>
        </w:rPr>
        <w:t xml:space="preserve"> capital planning process. Examples of measures:</w:t>
      </w:r>
    </w:p>
    <w:p w14:paraId="13ABBE0B" w14:textId="77777777" w:rsidR="00614832" w:rsidRPr="00345354" w:rsidRDefault="00614832" w:rsidP="004A177A">
      <w:pPr>
        <w:spacing w:after="0" w:line="240" w:lineRule="auto"/>
        <w:ind w:left="1134"/>
        <w:jc w:val="both"/>
        <w:rPr>
          <w:rFonts w:ascii="Arial" w:hAnsi="Arial" w:cs="Arial"/>
          <w:lang w:val="en-US"/>
        </w:rPr>
      </w:pPr>
    </w:p>
    <w:p w14:paraId="44E98EA3" w14:textId="6324F218" w:rsidR="00614832" w:rsidRPr="00345354" w:rsidRDefault="00614832" w:rsidP="004D4950">
      <w:pPr>
        <w:pStyle w:val="Prrafodelista"/>
        <w:numPr>
          <w:ilvl w:val="0"/>
          <w:numId w:val="2"/>
        </w:numPr>
        <w:spacing w:after="0" w:line="240" w:lineRule="auto"/>
        <w:jc w:val="both"/>
        <w:rPr>
          <w:rFonts w:ascii="Arial" w:hAnsi="Arial" w:cs="Arial"/>
          <w:lang w:val="en-US"/>
        </w:rPr>
      </w:pPr>
      <w:r w:rsidRPr="00345354">
        <w:rPr>
          <w:rFonts w:ascii="Arial" w:hAnsi="Arial" w:cs="Arial"/>
          <w:lang w:val="en-US"/>
        </w:rPr>
        <w:t>Changes in the business model</w:t>
      </w:r>
    </w:p>
    <w:p w14:paraId="652F5035" w14:textId="2BD46274" w:rsidR="00614832" w:rsidRPr="00345354" w:rsidRDefault="00614832" w:rsidP="004D4950">
      <w:pPr>
        <w:pStyle w:val="Prrafodelista"/>
        <w:numPr>
          <w:ilvl w:val="0"/>
          <w:numId w:val="2"/>
        </w:numPr>
        <w:spacing w:after="0" w:line="240" w:lineRule="auto"/>
        <w:jc w:val="both"/>
        <w:rPr>
          <w:rFonts w:ascii="Arial" w:hAnsi="Arial" w:cs="Arial"/>
          <w:lang w:val="en-US"/>
        </w:rPr>
      </w:pPr>
      <w:r w:rsidRPr="00345354">
        <w:rPr>
          <w:rFonts w:ascii="Arial" w:hAnsi="Arial" w:cs="Arial"/>
          <w:lang w:val="en-US"/>
        </w:rPr>
        <w:t>Reduction of growth estimates in any business line</w:t>
      </w:r>
    </w:p>
    <w:p w14:paraId="435EEDC4" w14:textId="5B2139B3" w:rsidR="00614832" w:rsidRPr="00345354" w:rsidRDefault="00614832" w:rsidP="004D4950">
      <w:pPr>
        <w:pStyle w:val="Prrafodelista"/>
        <w:numPr>
          <w:ilvl w:val="0"/>
          <w:numId w:val="2"/>
        </w:numPr>
        <w:spacing w:after="0" w:line="240" w:lineRule="auto"/>
        <w:jc w:val="both"/>
        <w:rPr>
          <w:rFonts w:ascii="Arial" w:hAnsi="Arial" w:cs="Arial"/>
          <w:lang w:val="en-US"/>
        </w:rPr>
      </w:pPr>
      <w:r w:rsidRPr="00345354">
        <w:rPr>
          <w:rFonts w:ascii="Arial" w:hAnsi="Arial" w:cs="Arial"/>
          <w:lang w:val="en-US"/>
        </w:rPr>
        <w:t>Reformulation of strategic goals</w:t>
      </w:r>
    </w:p>
    <w:p w14:paraId="5025F47D" w14:textId="4B0E0308" w:rsidR="00614832" w:rsidRPr="00345354" w:rsidRDefault="00614832" w:rsidP="004D4950">
      <w:pPr>
        <w:pStyle w:val="Prrafodelista"/>
        <w:numPr>
          <w:ilvl w:val="0"/>
          <w:numId w:val="2"/>
        </w:numPr>
        <w:spacing w:after="0" w:line="240" w:lineRule="auto"/>
        <w:jc w:val="both"/>
        <w:rPr>
          <w:rFonts w:ascii="Arial" w:hAnsi="Arial" w:cs="Arial"/>
          <w:lang w:val="en-US"/>
        </w:rPr>
      </w:pPr>
      <w:r w:rsidRPr="00345354">
        <w:rPr>
          <w:rFonts w:ascii="Arial" w:hAnsi="Arial" w:cs="Arial"/>
          <w:lang w:val="en-US"/>
        </w:rPr>
        <w:t xml:space="preserve">Strengthening </w:t>
      </w:r>
      <w:r w:rsidR="002C1272">
        <w:rPr>
          <w:rFonts w:ascii="Arial" w:hAnsi="Arial" w:cs="Arial"/>
          <w:lang w:val="en-US"/>
        </w:rPr>
        <w:t xml:space="preserve">of </w:t>
      </w:r>
      <w:r w:rsidRPr="00345354">
        <w:rPr>
          <w:rFonts w:ascii="Arial" w:hAnsi="Arial" w:cs="Arial"/>
          <w:lang w:val="en-US"/>
        </w:rPr>
        <w:t>corporate governance and risk management</w:t>
      </w:r>
    </w:p>
    <w:p w14:paraId="0DDEF435" w14:textId="5A73F720" w:rsidR="00614832" w:rsidRPr="00345354" w:rsidRDefault="00614832" w:rsidP="004D4950">
      <w:pPr>
        <w:pStyle w:val="Prrafodelista"/>
        <w:numPr>
          <w:ilvl w:val="0"/>
          <w:numId w:val="2"/>
        </w:numPr>
        <w:spacing w:after="0" w:line="240" w:lineRule="auto"/>
        <w:jc w:val="both"/>
        <w:rPr>
          <w:rFonts w:ascii="Arial" w:hAnsi="Arial" w:cs="Arial"/>
          <w:lang w:val="en-US"/>
        </w:rPr>
      </w:pPr>
      <w:r w:rsidRPr="00345354">
        <w:rPr>
          <w:rFonts w:ascii="Arial" w:hAnsi="Arial" w:cs="Arial"/>
          <w:lang w:val="en-US"/>
        </w:rPr>
        <w:t xml:space="preserve">Modifications to the </w:t>
      </w:r>
      <w:r w:rsidR="002C1272">
        <w:rPr>
          <w:rFonts w:ascii="Arial" w:hAnsi="Arial" w:cs="Arial"/>
          <w:lang w:val="en-US"/>
        </w:rPr>
        <w:t>profit</w:t>
      </w:r>
      <w:r w:rsidRPr="00345354">
        <w:rPr>
          <w:rFonts w:ascii="Arial" w:hAnsi="Arial" w:cs="Arial"/>
          <w:lang w:val="en-US"/>
        </w:rPr>
        <w:t xml:space="preserve"> capitalization policy</w:t>
      </w:r>
    </w:p>
    <w:p w14:paraId="276572B9" w14:textId="0004BD86" w:rsidR="00614832" w:rsidRPr="00345354" w:rsidRDefault="002C1272" w:rsidP="004D4950">
      <w:pPr>
        <w:pStyle w:val="Prrafodelista"/>
        <w:numPr>
          <w:ilvl w:val="0"/>
          <w:numId w:val="2"/>
        </w:numPr>
        <w:spacing w:after="0" w:line="240" w:lineRule="auto"/>
        <w:jc w:val="both"/>
        <w:rPr>
          <w:rFonts w:ascii="Arial" w:hAnsi="Arial" w:cs="Arial"/>
          <w:lang w:val="en-US"/>
        </w:rPr>
      </w:pPr>
      <w:r>
        <w:rPr>
          <w:rFonts w:ascii="Arial" w:hAnsi="Arial" w:cs="Arial"/>
          <w:lang w:val="en-US"/>
        </w:rPr>
        <w:t xml:space="preserve">Cost reduction </w:t>
      </w:r>
    </w:p>
    <w:p w14:paraId="3E67304E" w14:textId="2DDC6C01" w:rsidR="00614832" w:rsidRPr="00345354" w:rsidRDefault="00614832" w:rsidP="004D4950">
      <w:pPr>
        <w:pStyle w:val="Prrafodelista"/>
        <w:numPr>
          <w:ilvl w:val="0"/>
          <w:numId w:val="2"/>
        </w:numPr>
        <w:spacing w:after="0" w:line="240" w:lineRule="auto"/>
        <w:jc w:val="both"/>
        <w:rPr>
          <w:rFonts w:ascii="Arial" w:hAnsi="Arial" w:cs="Arial"/>
          <w:lang w:val="en-US"/>
        </w:rPr>
      </w:pPr>
      <w:r w:rsidRPr="00345354">
        <w:rPr>
          <w:rFonts w:ascii="Arial" w:hAnsi="Arial" w:cs="Arial"/>
          <w:lang w:val="en-US"/>
        </w:rPr>
        <w:t>Commitment of capital contributions not considered in the original plan</w:t>
      </w:r>
      <w:r w:rsidR="002C1272">
        <w:rPr>
          <w:rFonts w:ascii="Arial" w:hAnsi="Arial" w:cs="Arial"/>
          <w:lang w:val="en-US"/>
        </w:rPr>
        <w:t>ning</w:t>
      </w:r>
    </w:p>
    <w:p w14:paraId="3F0549F9" w14:textId="6CE550CD" w:rsidR="00614832" w:rsidRPr="00345354" w:rsidRDefault="002C1272" w:rsidP="004D4950">
      <w:pPr>
        <w:pStyle w:val="Prrafodelista"/>
        <w:numPr>
          <w:ilvl w:val="0"/>
          <w:numId w:val="2"/>
        </w:numPr>
        <w:spacing w:after="0" w:line="240" w:lineRule="auto"/>
        <w:jc w:val="both"/>
        <w:rPr>
          <w:rFonts w:ascii="Arial" w:hAnsi="Arial" w:cs="Arial"/>
          <w:lang w:val="en-US"/>
        </w:rPr>
      </w:pPr>
      <w:r>
        <w:rPr>
          <w:rFonts w:ascii="Arial" w:hAnsi="Arial" w:cs="Arial"/>
          <w:lang w:val="en-US"/>
        </w:rPr>
        <w:t>Opening of capital to new partners</w:t>
      </w:r>
    </w:p>
    <w:p w14:paraId="02D37780" w14:textId="77777777" w:rsidR="00031096" w:rsidRPr="00345354" w:rsidRDefault="00031096" w:rsidP="004D4950">
      <w:pPr>
        <w:spacing w:after="0" w:line="240" w:lineRule="auto"/>
        <w:jc w:val="both"/>
        <w:rPr>
          <w:rFonts w:ascii="Arial" w:hAnsi="Arial" w:cs="Arial"/>
          <w:lang w:val="en-US"/>
        </w:rPr>
      </w:pPr>
    </w:p>
    <w:p w14:paraId="45E18247" w14:textId="2A9DEE7A" w:rsidR="00213FB4" w:rsidRPr="00345354" w:rsidRDefault="0051111B" w:rsidP="00780C73">
      <w:pPr>
        <w:spacing w:after="0" w:line="240" w:lineRule="auto"/>
        <w:ind w:left="1134" w:hanging="567"/>
        <w:jc w:val="both"/>
        <w:rPr>
          <w:rFonts w:ascii="Arial" w:hAnsi="Arial" w:cs="Arial"/>
          <w:b/>
          <w:lang w:val="en-US"/>
        </w:rPr>
      </w:pPr>
      <w:bookmarkStart w:id="0" w:name="_Hlk507933046"/>
      <w:r w:rsidRPr="00345354">
        <w:rPr>
          <w:rFonts w:ascii="Arial" w:hAnsi="Arial" w:cs="Arial"/>
          <w:b/>
          <w:lang w:val="en-US"/>
        </w:rPr>
        <w:t xml:space="preserve">2.6. </w:t>
      </w:r>
      <w:r w:rsidR="00213FB4" w:rsidRPr="00345354">
        <w:rPr>
          <w:rFonts w:ascii="Arial" w:hAnsi="Arial" w:cs="Arial"/>
          <w:b/>
          <w:lang w:val="en-US"/>
        </w:rPr>
        <w:tab/>
        <w:t xml:space="preserve">Evaluation of </w:t>
      </w:r>
      <w:r w:rsidR="002C1272">
        <w:rPr>
          <w:rFonts w:ascii="Arial" w:hAnsi="Arial" w:cs="Arial"/>
          <w:b/>
          <w:lang w:val="en-US"/>
        </w:rPr>
        <w:t>Compliance with Projections</w:t>
      </w:r>
      <w:r w:rsidR="00213FB4" w:rsidRPr="00345354">
        <w:rPr>
          <w:rFonts w:ascii="Arial" w:hAnsi="Arial" w:cs="Arial"/>
          <w:b/>
          <w:lang w:val="en-US"/>
        </w:rPr>
        <w:t xml:space="preserve"> (Base Scenario)</w:t>
      </w:r>
    </w:p>
    <w:bookmarkEnd w:id="0"/>
    <w:p w14:paraId="57E76E81" w14:textId="77777777" w:rsidR="003422CE" w:rsidRDefault="003422CE" w:rsidP="004A177A">
      <w:pPr>
        <w:spacing w:after="0" w:line="240" w:lineRule="auto"/>
        <w:ind w:left="1134"/>
        <w:jc w:val="both"/>
        <w:rPr>
          <w:rFonts w:ascii="Arial" w:hAnsi="Arial" w:cs="Arial"/>
          <w:lang w:val="en-US"/>
        </w:rPr>
      </w:pPr>
    </w:p>
    <w:p w14:paraId="525A2907" w14:textId="5C8B3E34" w:rsidR="00213FB4" w:rsidRPr="00345354" w:rsidRDefault="00213FB4" w:rsidP="004A177A">
      <w:pPr>
        <w:spacing w:after="0" w:line="240" w:lineRule="auto"/>
        <w:ind w:left="1134"/>
        <w:jc w:val="both"/>
        <w:rPr>
          <w:rFonts w:ascii="Arial" w:hAnsi="Arial" w:cs="Arial"/>
          <w:lang w:val="en-US"/>
        </w:rPr>
      </w:pPr>
      <w:r w:rsidRPr="00345354">
        <w:rPr>
          <w:rFonts w:ascii="Arial" w:hAnsi="Arial" w:cs="Arial"/>
          <w:lang w:val="en-US"/>
        </w:rPr>
        <w:t>The ban</w:t>
      </w:r>
      <w:r w:rsidR="002C1272">
        <w:rPr>
          <w:rFonts w:ascii="Arial" w:hAnsi="Arial" w:cs="Arial"/>
          <w:lang w:val="en-US"/>
        </w:rPr>
        <w:t xml:space="preserve">k must explain the differences that arise </w:t>
      </w:r>
      <w:r w:rsidRPr="00345354">
        <w:rPr>
          <w:rFonts w:ascii="Arial" w:hAnsi="Arial" w:cs="Arial"/>
          <w:lang w:val="en-US"/>
        </w:rPr>
        <w:t xml:space="preserve">from projections (in capital planning) and </w:t>
      </w:r>
      <w:r w:rsidR="002C1272">
        <w:rPr>
          <w:rFonts w:ascii="Arial" w:hAnsi="Arial" w:cs="Arial"/>
          <w:lang w:val="en-US"/>
        </w:rPr>
        <w:t>what is actually executed</w:t>
      </w:r>
      <w:r w:rsidRPr="00345354">
        <w:rPr>
          <w:rFonts w:ascii="Arial" w:hAnsi="Arial" w:cs="Arial"/>
          <w:lang w:val="en-US"/>
        </w:rPr>
        <w:t xml:space="preserve">. This exercise should be </w:t>
      </w:r>
      <w:r w:rsidR="002C1272">
        <w:rPr>
          <w:rFonts w:ascii="Arial" w:hAnsi="Arial" w:cs="Arial"/>
          <w:lang w:val="en-US"/>
        </w:rPr>
        <w:t xml:space="preserve">done at the end of </w:t>
      </w:r>
      <w:r w:rsidRPr="00345354">
        <w:rPr>
          <w:rFonts w:ascii="Arial" w:hAnsi="Arial" w:cs="Arial"/>
          <w:lang w:val="en-US"/>
        </w:rPr>
        <w:t>each of the three years using the following table</w:t>
      </w:r>
      <w:r w:rsidR="00345354" w:rsidRPr="00345354">
        <w:rPr>
          <w:rFonts w:ascii="Arial" w:hAnsi="Arial" w:cs="Arial"/>
          <w:lang w:val="en-US"/>
        </w:rPr>
        <w:t>:</w:t>
      </w:r>
    </w:p>
    <w:p w14:paraId="67E4C516" w14:textId="77777777" w:rsidR="00213FB4" w:rsidRPr="00345354" w:rsidRDefault="00213FB4" w:rsidP="004A177A">
      <w:pPr>
        <w:spacing w:after="0" w:line="240" w:lineRule="auto"/>
        <w:ind w:left="1134"/>
        <w:jc w:val="both"/>
        <w:rPr>
          <w:rFonts w:ascii="Arial" w:hAnsi="Arial" w:cs="Arial"/>
          <w:lang w:val="en-US"/>
        </w:rPr>
      </w:pPr>
    </w:p>
    <w:p w14:paraId="3DE4E7FF" w14:textId="77777777" w:rsidR="00C15BEB" w:rsidRPr="00345354" w:rsidRDefault="00C15BEB" w:rsidP="004D4950">
      <w:pPr>
        <w:spacing w:after="0" w:line="240" w:lineRule="auto"/>
        <w:ind w:left="1416"/>
        <w:jc w:val="both"/>
        <w:rPr>
          <w:rFonts w:ascii="Arial" w:hAnsi="Arial" w:cs="Arial"/>
          <w:lang w:val="en-US"/>
        </w:rPr>
      </w:pPr>
    </w:p>
    <w:tbl>
      <w:tblPr>
        <w:tblStyle w:val="Tablaconcuadrcula"/>
        <w:tblW w:w="0" w:type="auto"/>
        <w:jc w:val="center"/>
        <w:tblLook w:val="04A0" w:firstRow="1" w:lastRow="0" w:firstColumn="1" w:lastColumn="0" w:noHBand="0" w:noVBand="1"/>
      </w:tblPr>
      <w:tblGrid>
        <w:gridCol w:w="3791"/>
        <w:gridCol w:w="1233"/>
        <w:gridCol w:w="1195"/>
        <w:gridCol w:w="1292"/>
        <w:gridCol w:w="1317"/>
      </w:tblGrid>
      <w:tr w:rsidR="00345354" w:rsidRPr="00345354" w14:paraId="09442A0E" w14:textId="77777777" w:rsidTr="00F4465B">
        <w:trPr>
          <w:tblHeader/>
          <w:jc w:val="center"/>
        </w:trPr>
        <w:tc>
          <w:tcPr>
            <w:tcW w:w="4318" w:type="dxa"/>
          </w:tcPr>
          <w:p w14:paraId="11A4FFF9" w14:textId="77777777" w:rsidR="00C15BEB" w:rsidRPr="00345354" w:rsidRDefault="00C15BEB" w:rsidP="004D4950">
            <w:pPr>
              <w:rPr>
                <w:rFonts w:ascii="Arial" w:hAnsi="Arial" w:cs="Arial"/>
                <w:lang w:val="en-US"/>
              </w:rPr>
            </w:pPr>
          </w:p>
        </w:tc>
        <w:tc>
          <w:tcPr>
            <w:tcW w:w="1236" w:type="dxa"/>
            <w:vAlign w:val="center"/>
          </w:tcPr>
          <w:p w14:paraId="588DE31A" w14:textId="0C796C37" w:rsidR="00C15BEB" w:rsidRPr="00345354" w:rsidRDefault="00345354" w:rsidP="00345354">
            <w:pPr>
              <w:jc w:val="center"/>
              <w:rPr>
                <w:rFonts w:ascii="Arial" w:hAnsi="Arial" w:cs="Arial"/>
                <w:b/>
                <w:lang w:val="en-US"/>
              </w:rPr>
            </w:pPr>
            <w:r w:rsidRPr="00345354">
              <w:rPr>
                <w:rFonts w:ascii="Arial" w:hAnsi="Arial" w:cs="Arial"/>
                <w:b/>
                <w:lang w:val="en-US"/>
              </w:rPr>
              <w:t>Projected 1</w:t>
            </w:r>
            <w:r w:rsidRPr="00345354">
              <w:rPr>
                <w:rFonts w:ascii="Arial" w:hAnsi="Arial" w:cs="Arial"/>
                <w:b/>
                <w:vertAlign w:val="superscript"/>
                <w:lang w:val="en-US"/>
              </w:rPr>
              <w:t>st</w:t>
            </w:r>
            <w:r w:rsidRPr="00345354">
              <w:rPr>
                <w:rFonts w:ascii="Arial" w:hAnsi="Arial" w:cs="Arial"/>
                <w:b/>
                <w:lang w:val="en-US"/>
              </w:rPr>
              <w:t xml:space="preserve"> year</w:t>
            </w:r>
          </w:p>
        </w:tc>
        <w:tc>
          <w:tcPr>
            <w:tcW w:w="1140" w:type="dxa"/>
            <w:vAlign w:val="center"/>
          </w:tcPr>
          <w:p w14:paraId="13264472" w14:textId="685DE61D" w:rsidR="00C15BEB" w:rsidRPr="00345354" w:rsidRDefault="00345354" w:rsidP="00345354">
            <w:pPr>
              <w:jc w:val="center"/>
              <w:rPr>
                <w:rFonts w:ascii="Arial" w:hAnsi="Arial" w:cs="Arial"/>
                <w:b/>
                <w:lang w:val="en-US"/>
              </w:rPr>
            </w:pPr>
            <w:r w:rsidRPr="00345354">
              <w:rPr>
                <w:rFonts w:ascii="Arial" w:hAnsi="Arial" w:cs="Arial"/>
                <w:b/>
                <w:lang w:val="en-US"/>
              </w:rPr>
              <w:t>Executed 1</w:t>
            </w:r>
            <w:r w:rsidRPr="00345354">
              <w:rPr>
                <w:rFonts w:ascii="Arial" w:hAnsi="Arial" w:cs="Arial"/>
                <w:b/>
                <w:vertAlign w:val="superscript"/>
                <w:lang w:val="en-US"/>
              </w:rPr>
              <w:t>st</w:t>
            </w:r>
            <w:r w:rsidRPr="00345354">
              <w:rPr>
                <w:rFonts w:ascii="Arial" w:hAnsi="Arial" w:cs="Arial"/>
                <w:b/>
                <w:lang w:val="en-US"/>
              </w:rPr>
              <w:t xml:space="preserve"> year</w:t>
            </w:r>
          </w:p>
        </w:tc>
        <w:tc>
          <w:tcPr>
            <w:tcW w:w="1177" w:type="dxa"/>
            <w:vAlign w:val="center"/>
          </w:tcPr>
          <w:p w14:paraId="3E1C83A2" w14:textId="4A7E5F5B" w:rsidR="00C15BEB" w:rsidRPr="00345354" w:rsidRDefault="00345354" w:rsidP="004A177A">
            <w:pPr>
              <w:jc w:val="center"/>
              <w:rPr>
                <w:rFonts w:ascii="Arial" w:hAnsi="Arial" w:cs="Arial"/>
                <w:b/>
                <w:lang w:val="en-US"/>
              </w:rPr>
            </w:pPr>
            <w:r w:rsidRPr="00345354">
              <w:rPr>
                <w:rFonts w:ascii="Arial" w:hAnsi="Arial" w:cs="Arial"/>
                <w:b/>
                <w:lang w:val="en-US"/>
              </w:rPr>
              <w:t xml:space="preserve">Difference </w:t>
            </w:r>
          </w:p>
        </w:tc>
        <w:tc>
          <w:tcPr>
            <w:tcW w:w="1359" w:type="dxa"/>
            <w:vAlign w:val="center"/>
          </w:tcPr>
          <w:p w14:paraId="66F2BCDC" w14:textId="3E7209E0" w:rsidR="00C15BEB" w:rsidRPr="00345354" w:rsidRDefault="00345354" w:rsidP="004A177A">
            <w:pPr>
              <w:jc w:val="center"/>
              <w:rPr>
                <w:rFonts w:ascii="Arial" w:hAnsi="Arial" w:cs="Arial"/>
                <w:b/>
                <w:lang w:val="en-US"/>
              </w:rPr>
            </w:pPr>
            <w:r w:rsidRPr="00345354">
              <w:rPr>
                <w:rFonts w:ascii="Arial" w:hAnsi="Arial" w:cs="Arial"/>
                <w:b/>
                <w:lang w:val="en-US"/>
              </w:rPr>
              <w:t xml:space="preserve">Remarks </w:t>
            </w:r>
          </w:p>
        </w:tc>
      </w:tr>
      <w:tr w:rsidR="00345354" w:rsidRPr="00345354" w14:paraId="1F42799F" w14:textId="77777777" w:rsidTr="0015496B">
        <w:trPr>
          <w:jc w:val="center"/>
        </w:trPr>
        <w:tc>
          <w:tcPr>
            <w:tcW w:w="4318" w:type="dxa"/>
          </w:tcPr>
          <w:p w14:paraId="170DFE4E" w14:textId="43FA6149" w:rsidR="00C15BEB" w:rsidRPr="00345354" w:rsidRDefault="00345354" w:rsidP="004D4950">
            <w:pPr>
              <w:rPr>
                <w:rFonts w:ascii="Arial" w:hAnsi="Arial" w:cs="Arial"/>
                <w:b/>
                <w:lang w:val="en-US"/>
              </w:rPr>
            </w:pPr>
            <w:r w:rsidRPr="00345354">
              <w:rPr>
                <w:rFonts w:ascii="Arial" w:hAnsi="Arial" w:cs="Arial"/>
                <w:b/>
                <w:lang w:val="en-US"/>
              </w:rPr>
              <w:t>Total assets</w:t>
            </w:r>
          </w:p>
        </w:tc>
        <w:tc>
          <w:tcPr>
            <w:tcW w:w="1236" w:type="dxa"/>
          </w:tcPr>
          <w:p w14:paraId="0EE1B80D" w14:textId="77777777" w:rsidR="00C15BEB" w:rsidRPr="00345354" w:rsidRDefault="00C15BEB" w:rsidP="004D4950">
            <w:pPr>
              <w:jc w:val="both"/>
              <w:rPr>
                <w:rFonts w:ascii="Arial" w:hAnsi="Arial" w:cs="Arial"/>
                <w:lang w:val="en-US"/>
              </w:rPr>
            </w:pPr>
          </w:p>
        </w:tc>
        <w:tc>
          <w:tcPr>
            <w:tcW w:w="1140" w:type="dxa"/>
          </w:tcPr>
          <w:p w14:paraId="045E89AB" w14:textId="77777777" w:rsidR="00C15BEB" w:rsidRPr="00345354" w:rsidRDefault="00C15BEB" w:rsidP="004D4950">
            <w:pPr>
              <w:jc w:val="both"/>
              <w:rPr>
                <w:rFonts w:ascii="Arial" w:hAnsi="Arial" w:cs="Arial"/>
                <w:lang w:val="en-US"/>
              </w:rPr>
            </w:pPr>
          </w:p>
        </w:tc>
        <w:tc>
          <w:tcPr>
            <w:tcW w:w="1177" w:type="dxa"/>
          </w:tcPr>
          <w:p w14:paraId="39D4086A" w14:textId="77777777" w:rsidR="00C15BEB" w:rsidRPr="00345354" w:rsidRDefault="00C15BEB" w:rsidP="004D4950">
            <w:pPr>
              <w:jc w:val="both"/>
              <w:rPr>
                <w:rFonts w:ascii="Arial" w:hAnsi="Arial" w:cs="Arial"/>
                <w:lang w:val="en-US"/>
              </w:rPr>
            </w:pPr>
          </w:p>
        </w:tc>
        <w:tc>
          <w:tcPr>
            <w:tcW w:w="1359" w:type="dxa"/>
          </w:tcPr>
          <w:p w14:paraId="16539331" w14:textId="77777777" w:rsidR="00C15BEB" w:rsidRPr="00345354" w:rsidRDefault="00C15BEB" w:rsidP="004D4950">
            <w:pPr>
              <w:jc w:val="both"/>
              <w:rPr>
                <w:rFonts w:ascii="Arial" w:hAnsi="Arial" w:cs="Arial"/>
                <w:lang w:val="en-US"/>
              </w:rPr>
            </w:pPr>
          </w:p>
        </w:tc>
      </w:tr>
      <w:tr w:rsidR="00345354" w:rsidRPr="00345354" w14:paraId="46FE7051" w14:textId="77777777" w:rsidTr="0015496B">
        <w:trPr>
          <w:jc w:val="center"/>
        </w:trPr>
        <w:tc>
          <w:tcPr>
            <w:tcW w:w="4318" w:type="dxa"/>
          </w:tcPr>
          <w:p w14:paraId="544092CA" w14:textId="135A861D" w:rsidR="00C15BEB" w:rsidRPr="00345354" w:rsidRDefault="00345354" w:rsidP="00345354">
            <w:pPr>
              <w:rPr>
                <w:rFonts w:ascii="Arial" w:hAnsi="Arial" w:cs="Arial"/>
                <w:lang w:val="en-US"/>
              </w:rPr>
            </w:pPr>
            <w:r w:rsidRPr="00345354">
              <w:rPr>
                <w:rFonts w:ascii="Arial" w:hAnsi="Arial" w:cs="Arial"/>
                <w:lang w:val="en-US"/>
              </w:rPr>
              <w:t xml:space="preserve">Weighted assets </w:t>
            </w:r>
          </w:p>
        </w:tc>
        <w:tc>
          <w:tcPr>
            <w:tcW w:w="1236" w:type="dxa"/>
          </w:tcPr>
          <w:p w14:paraId="4C4C3AE8" w14:textId="77777777" w:rsidR="00C15BEB" w:rsidRPr="00345354" w:rsidRDefault="00C15BEB" w:rsidP="004D4950">
            <w:pPr>
              <w:jc w:val="both"/>
              <w:rPr>
                <w:rFonts w:ascii="Arial" w:hAnsi="Arial" w:cs="Arial"/>
                <w:lang w:val="en-US"/>
              </w:rPr>
            </w:pPr>
          </w:p>
        </w:tc>
        <w:tc>
          <w:tcPr>
            <w:tcW w:w="1140" w:type="dxa"/>
          </w:tcPr>
          <w:p w14:paraId="237CA2DC" w14:textId="77777777" w:rsidR="00C15BEB" w:rsidRPr="00345354" w:rsidRDefault="00C15BEB" w:rsidP="004D4950">
            <w:pPr>
              <w:jc w:val="both"/>
              <w:rPr>
                <w:rFonts w:ascii="Arial" w:hAnsi="Arial" w:cs="Arial"/>
                <w:lang w:val="en-US"/>
              </w:rPr>
            </w:pPr>
          </w:p>
        </w:tc>
        <w:tc>
          <w:tcPr>
            <w:tcW w:w="1177" w:type="dxa"/>
          </w:tcPr>
          <w:p w14:paraId="7F809DD2" w14:textId="77777777" w:rsidR="00C15BEB" w:rsidRPr="00345354" w:rsidRDefault="00C15BEB" w:rsidP="004D4950">
            <w:pPr>
              <w:jc w:val="both"/>
              <w:rPr>
                <w:rFonts w:ascii="Arial" w:hAnsi="Arial" w:cs="Arial"/>
                <w:lang w:val="en-US"/>
              </w:rPr>
            </w:pPr>
          </w:p>
        </w:tc>
        <w:tc>
          <w:tcPr>
            <w:tcW w:w="1359" w:type="dxa"/>
          </w:tcPr>
          <w:p w14:paraId="04338192" w14:textId="77777777" w:rsidR="00C15BEB" w:rsidRPr="00345354" w:rsidRDefault="00C15BEB" w:rsidP="004D4950">
            <w:pPr>
              <w:jc w:val="both"/>
              <w:rPr>
                <w:rFonts w:ascii="Arial" w:hAnsi="Arial" w:cs="Arial"/>
                <w:lang w:val="en-US"/>
              </w:rPr>
            </w:pPr>
          </w:p>
        </w:tc>
      </w:tr>
      <w:tr w:rsidR="00345354" w:rsidRPr="00345354" w14:paraId="4F2F5BAA" w14:textId="77777777" w:rsidTr="0015496B">
        <w:trPr>
          <w:jc w:val="center"/>
        </w:trPr>
        <w:tc>
          <w:tcPr>
            <w:tcW w:w="4318" w:type="dxa"/>
          </w:tcPr>
          <w:p w14:paraId="2A27A8B2" w14:textId="6E9635AB" w:rsidR="00C15BEB" w:rsidRPr="00345354" w:rsidRDefault="00345354" w:rsidP="00345354">
            <w:pPr>
              <w:rPr>
                <w:rFonts w:ascii="Arial" w:hAnsi="Arial" w:cs="Arial"/>
                <w:lang w:val="en-US"/>
              </w:rPr>
            </w:pPr>
            <w:r w:rsidRPr="00345354">
              <w:rPr>
                <w:rFonts w:ascii="Arial" w:hAnsi="Arial" w:cs="Arial"/>
                <w:lang w:val="en-US"/>
              </w:rPr>
              <w:t>Balance of loan portfolio</w:t>
            </w:r>
          </w:p>
        </w:tc>
        <w:tc>
          <w:tcPr>
            <w:tcW w:w="1236" w:type="dxa"/>
          </w:tcPr>
          <w:p w14:paraId="4E7F8343" w14:textId="77777777" w:rsidR="00C15BEB" w:rsidRPr="00345354" w:rsidRDefault="00C15BEB" w:rsidP="004D4950">
            <w:pPr>
              <w:jc w:val="both"/>
              <w:rPr>
                <w:rFonts w:ascii="Arial" w:hAnsi="Arial" w:cs="Arial"/>
                <w:lang w:val="en-US"/>
              </w:rPr>
            </w:pPr>
          </w:p>
        </w:tc>
        <w:tc>
          <w:tcPr>
            <w:tcW w:w="1140" w:type="dxa"/>
          </w:tcPr>
          <w:p w14:paraId="0CDB8FF0" w14:textId="77777777" w:rsidR="00C15BEB" w:rsidRPr="00345354" w:rsidRDefault="00C15BEB" w:rsidP="004D4950">
            <w:pPr>
              <w:jc w:val="both"/>
              <w:rPr>
                <w:rFonts w:ascii="Arial" w:hAnsi="Arial" w:cs="Arial"/>
                <w:lang w:val="en-US"/>
              </w:rPr>
            </w:pPr>
          </w:p>
        </w:tc>
        <w:tc>
          <w:tcPr>
            <w:tcW w:w="1177" w:type="dxa"/>
          </w:tcPr>
          <w:p w14:paraId="5E2DA18F" w14:textId="77777777" w:rsidR="00C15BEB" w:rsidRPr="00345354" w:rsidRDefault="00C15BEB" w:rsidP="004D4950">
            <w:pPr>
              <w:jc w:val="both"/>
              <w:rPr>
                <w:rFonts w:ascii="Arial" w:hAnsi="Arial" w:cs="Arial"/>
                <w:lang w:val="en-US"/>
              </w:rPr>
            </w:pPr>
          </w:p>
        </w:tc>
        <w:tc>
          <w:tcPr>
            <w:tcW w:w="1359" w:type="dxa"/>
          </w:tcPr>
          <w:p w14:paraId="179BCDB5" w14:textId="77777777" w:rsidR="00C15BEB" w:rsidRPr="00345354" w:rsidRDefault="00C15BEB" w:rsidP="004D4950">
            <w:pPr>
              <w:jc w:val="both"/>
              <w:rPr>
                <w:rFonts w:ascii="Arial" w:hAnsi="Arial" w:cs="Arial"/>
                <w:lang w:val="en-US"/>
              </w:rPr>
            </w:pPr>
          </w:p>
        </w:tc>
      </w:tr>
      <w:tr w:rsidR="00345354" w:rsidRPr="00345354" w14:paraId="7EBB09D2" w14:textId="77777777" w:rsidTr="0015496B">
        <w:trPr>
          <w:jc w:val="center"/>
        </w:trPr>
        <w:tc>
          <w:tcPr>
            <w:tcW w:w="4318" w:type="dxa"/>
          </w:tcPr>
          <w:p w14:paraId="66DC6A76" w14:textId="50854A16" w:rsidR="00C15BEB" w:rsidRPr="00345354" w:rsidRDefault="00345354" w:rsidP="00345354">
            <w:pPr>
              <w:rPr>
                <w:rFonts w:ascii="Arial" w:hAnsi="Arial" w:cs="Arial"/>
                <w:lang w:val="en-US"/>
              </w:rPr>
            </w:pPr>
            <w:r w:rsidRPr="00345354">
              <w:rPr>
                <w:rFonts w:ascii="Arial" w:hAnsi="Arial" w:cs="Arial"/>
                <w:lang w:val="en-US"/>
              </w:rPr>
              <w:t>Corporate loans</w:t>
            </w:r>
          </w:p>
        </w:tc>
        <w:tc>
          <w:tcPr>
            <w:tcW w:w="1236" w:type="dxa"/>
          </w:tcPr>
          <w:p w14:paraId="30ED2BAD" w14:textId="77777777" w:rsidR="00C15BEB" w:rsidRPr="00345354" w:rsidRDefault="00C15BEB" w:rsidP="004D4950">
            <w:pPr>
              <w:jc w:val="both"/>
              <w:rPr>
                <w:rFonts w:ascii="Arial" w:hAnsi="Arial" w:cs="Arial"/>
                <w:lang w:val="en-US"/>
              </w:rPr>
            </w:pPr>
          </w:p>
        </w:tc>
        <w:tc>
          <w:tcPr>
            <w:tcW w:w="1140" w:type="dxa"/>
          </w:tcPr>
          <w:p w14:paraId="15B15A86" w14:textId="77777777" w:rsidR="00C15BEB" w:rsidRPr="00345354" w:rsidRDefault="00C15BEB" w:rsidP="004D4950">
            <w:pPr>
              <w:jc w:val="both"/>
              <w:rPr>
                <w:rFonts w:ascii="Arial" w:hAnsi="Arial" w:cs="Arial"/>
                <w:lang w:val="en-US"/>
              </w:rPr>
            </w:pPr>
          </w:p>
        </w:tc>
        <w:tc>
          <w:tcPr>
            <w:tcW w:w="1177" w:type="dxa"/>
          </w:tcPr>
          <w:p w14:paraId="4FEA95E1" w14:textId="77777777" w:rsidR="00C15BEB" w:rsidRPr="00345354" w:rsidRDefault="00C15BEB" w:rsidP="004D4950">
            <w:pPr>
              <w:jc w:val="both"/>
              <w:rPr>
                <w:rFonts w:ascii="Arial" w:hAnsi="Arial" w:cs="Arial"/>
                <w:lang w:val="en-US"/>
              </w:rPr>
            </w:pPr>
          </w:p>
        </w:tc>
        <w:tc>
          <w:tcPr>
            <w:tcW w:w="1359" w:type="dxa"/>
          </w:tcPr>
          <w:p w14:paraId="7584B259" w14:textId="77777777" w:rsidR="00C15BEB" w:rsidRPr="00345354" w:rsidRDefault="00C15BEB" w:rsidP="004D4950">
            <w:pPr>
              <w:jc w:val="both"/>
              <w:rPr>
                <w:rFonts w:ascii="Arial" w:hAnsi="Arial" w:cs="Arial"/>
                <w:lang w:val="en-US"/>
              </w:rPr>
            </w:pPr>
          </w:p>
        </w:tc>
      </w:tr>
      <w:tr w:rsidR="00345354" w:rsidRPr="00345354" w14:paraId="5CC6930D" w14:textId="77777777" w:rsidTr="0015496B">
        <w:trPr>
          <w:jc w:val="center"/>
        </w:trPr>
        <w:tc>
          <w:tcPr>
            <w:tcW w:w="4318" w:type="dxa"/>
          </w:tcPr>
          <w:p w14:paraId="6874C97A" w14:textId="4FE8C5B7" w:rsidR="00280058" w:rsidRPr="00345354" w:rsidRDefault="00345354" w:rsidP="00345354">
            <w:pPr>
              <w:rPr>
                <w:rFonts w:ascii="Arial" w:hAnsi="Arial" w:cs="Arial"/>
                <w:lang w:val="en-US"/>
              </w:rPr>
            </w:pPr>
            <w:r w:rsidRPr="00345354">
              <w:rPr>
                <w:rFonts w:ascii="Arial" w:hAnsi="Arial" w:cs="Arial"/>
                <w:lang w:val="en-US"/>
              </w:rPr>
              <w:t>Specific provisions – Corporate loans</w:t>
            </w:r>
          </w:p>
        </w:tc>
        <w:tc>
          <w:tcPr>
            <w:tcW w:w="1236" w:type="dxa"/>
          </w:tcPr>
          <w:p w14:paraId="636247D4" w14:textId="77777777" w:rsidR="00280058" w:rsidRPr="00345354" w:rsidRDefault="00280058" w:rsidP="004D4950">
            <w:pPr>
              <w:jc w:val="both"/>
              <w:rPr>
                <w:rFonts w:ascii="Arial" w:hAnsi="Arial" w:cs="Arial"/>
                <w:lang w:val="en-US"/>
              </w:rPr>
            </w:pPr>
          </w:p>
        </w:tc>
        <w:tc>
          <w:tcPr>
            <w:tcW w:w="1140" w:type="dxa"/>
          </w:tcPr>
          <w:p w14:paraId="4C6A692E" w14:textId="77777777" w:rsidR="00280058" w:rsidRPr="00345354" w:rsidRDefault="00280058" w:rsidP="004D4950">
            <w:pPr>
              <w:jc w:val="both"/>
              <w:rPr>
                <w:rFonts w:ascii="Arial" w:hAnsi="Arial" w:cs="Arial"/>
                <w:lang w:val="en-US"/>
              </w:rPr>
            </w:pPr>
          </w:p>
        </w:tc>
        <w:tc>
          <w:tcPr>
            <w:tcW w:w="1177" w:type="dxa"/>
          </w:tcPr>
          <w:p w14:paraId="2951E965" w14:textId="77777777" w:rsidR="00280058" w:rsidRPr="00345354" w:rsidRDefault="00280058" w:rsidP="004D4950">
            <w:pPr>
              <w:jc w:val="both"/>
              <w:rPr>
                <w:rFonts w:ascii="Arial" w:hAnsi="Arial" w:cs="Arial"/>
                <w:lang w:val="en-US"/>
              </w:rPr>
            </w:pPr>
          </w:p>
        </w:tc>
        <w:tc>
          <w:tcPr>
            <w:tcW w:w="1359" w:type="dxa"/>
          </w:tcPr>
          <w:p w14:paraId="46739FCF" w14:textId="77777777" w:rsidR="00280058" w:rsidRPr="00345354" w:rsidRDefault="00280058" w:rsidP="004D4950">
            <w:pPr>
              <w:jc w:val="both"/>
              <w:rPr>
                <w:rFonts w:ascii="Arial" w:hAnsi="Arial" w:cs="Arial"/>
                <w:lang w:val="en-US"/>
              </w:rPr>
            </w:pPr>
          </w:p>
        </w:tc>
      </w:tr>
      <w:tr w:rsidR="00345354" w:rsidRPr="00345354" w14:paraId="1DDCDC55" w14:textId="77777777" w:rsidTr="0015496B">
        <w:trPr>
          <w:jc w:val="center"/>
        </w:trPr>
        <w:tc>
          <w:tcPr>
            <w:tcW w:w="4318" w:type="dxa"/>
          </w:tcPr>
          <w:p w14:paraId="4904452B" w14:textId="395F4203" w:rsidR="00C15BEB" w:rsidRPr="00345354" w:rsidRDefault="002C1272" w:rsidP="00345354">
            <w:pPr>
              <w:rPr>
                <w:rFonts w:ascii="Arial" w:hAnsi="Arial" w:cs="Arial"/>
                <w:lang w:val="en-US"/>
              </w:rPr>
            </w:pPr>
            <w:r>
              <w:rPr>
                <w:rFonts w:ascii="Arial" w:hAnsi="Arial" w:cs="Arial"/>
                <w:lang w:val="en-US"/>
              </w:rPr>
              <w:t>Consumer</w:t>
            </w:r>
            <w:r w:rsidR="00345354" w:rsidRPr="00345354">
              <w:rPr>
                <w:rFonts w:ascii="Arial" w:hAnsi="Arial" w:cs="Arial"/>
                <w:lang w:val="en-US"/>
              </w:rPr>
              <w:t xml:space="preserve"> loans</w:t>
            </w:r>
          </w:p>
        </w:tc>
        <w:tc>
          <w:tcPr>
            <w:tcW w:w="1236" w:type="dxa"/>
          </w:tcPr>
          <w:p w14:paraId="43DE6E98" w14:textId="77777777" w:rsidR="00C15BEB" w:rsidRPr="00345354" w:rsidRDefault="00C15BEB" w:rsidP="004D4950">
            <w:pPr>
              <w:jc w:val="both"/>
              <w:rPr>
                <w:rFonts w:ascii="Arial" w:hAnsi="Arial" w:cs="Arial"/>
                <w:lang w:val="en-US"/>
              </w:rPr>
            </w:pPr>
          </w:p>
        </w:tc>
        <w:tc>
          <w:tcPr>
            <w:tcW w:w="1140" w:type="dxa"/>
          </w:tcPr>
          <w:p w14:paraId="47458D3E" w14:textId="77777777" w:rsidR="00C15BEB" w:rsidRPr="00345354" w:rsidRDefault="00C15BEB" w:rsidP="004D4950">
            <w:pPr>
              <w:jc w:val="both"/>
              <w:rPr>
                <w:rFonts w:ascii="Arial" w:hAnsi="Arial" w:cs="Arial"/>
                <w:lang w:val="en-US"/>
              </w:rPr>
            </w:pPr>
          </w:p>
        </w:tc>
        <w:tc>
          <w:tcPr>
            <w:tcW w:w="1177" w:type="dxa"/>
          </w:tcPr>
          <w:p w14:paraId="52485D10" w14:textId="77777777" w:rsidR="00C15BEB" w:rsidRPr="00345354" w:rsidRDefault="00C15BEB" w:rsidP="004D4950">
            <w:pPr>
              <w:jc w:val="both"/>
              <w:rPr>
                <w:rFonts w:ascii="Arial" w:hAnsi="Arial" w:cs="Arial"/>
                <w:lang w:val="en-US"/>
              </w:rPr>
            </w:pPr>
          </w:p>
        </w:tc>
        <w:tc>
          <w:tcPr>
            <w:tcW w:w="1359" w:type="dxa"/>
          </w:tcPr>
          <w:p w14:paraId="3D270AFA" w14:textId="77777777" w:rsidR="00C15BEB" w:rsidRPr="00345354" w:rsidRDefault="00C15BEB" w:rsidP="004D4950">
            <w:pPr>
              <w:jc w:val="both"/>
              <w:rPr>
                <w:rFonts w:ascii="Arial" w:hAnsi="Arial" w:cs="Arial"/>
                <w:lang w:val="en-US"/>
              </w:rPr>
            </w:pPr>
          </w:p>
        </w:tc>
      </w:tr>
      <w:tr w:rsidR="00345354" w:rsidRPr="00345354" w14:paraId="13355CB9" w14:textId="77777777" w:rsidTr="0015496B">
        <w:trPr>
          <w:jc w:val="center"/>
        </w:trPr>
        <w:tc>
          <w:tcPr>
            <w:tcW w:w="4318" w:type="dxa"/>
          </w:tcPr>
          <w:p w14:paraId="3CFD759B" w14:textId="05A6CC14" w:rsidR="00280058" w:rsidRPr="00345354" w:rsidRDefault="00345354" w:rsidP="00345354">
            <w:pPr>
              <w:rPr>
                <w:rFonts w:ascii="Arial" w:hAnsi="Arial" w:cs="Arial"/>
                <w:lang w:val="en-US"/>
              </w:rPr>
            </w:pPr>
            <w:r w:rsidRPr="00345354">
              <w:rPr>
                <w:rFonts w:ascii="Arial" w:hAnsi="Arial" w:cs="Arial"/>
                <w:lang w:val="en-US"/>
              </w:rPr>
              <w:t>Sp</w:t>
            </w:r>
            <w:r w:rsidR="002C1272">
              <w:rPr>
                <w:rFonts w:ascii="Arial" w:hAnsi="Arial" w:cs="Arial"/>
                <w:lang w:val="en-US"/>
              </w:rPr>
              <w:t xml:space="preserve">ecific provisions – Consumer </w:t>
            </w:r>
            <w:r w:rsidRPr="00345354">
              <w:rPr>
                <w:rFonts w:ascii="Arial" w:hAnsi="Arial" w:cs="Arial"/>
                <w:lang w:val="en-US"/>
              </w:rPr>
              <w:t>loans</w:t>
            </w:r>
          </w:p>
        </w:tc>
        <w:tc>
          <w:tcPr>
            <w:tcW w:w="1236" w:type="dxa"/>
          </w:tcPr>
          <w:p w14:paraId="62959525" w14:textId="77777777" w:rsidR="00280058" w:rsidRPr="00345354" w:rsidRDefault="00280058" w:rsidP="004D4950">
            <w:pPr>
              <w:jc w:val="both"/>
              <w:rPr>
                <w:rFonts w:ascii="Arial" w:hAnsi="Arial" w:cs="Arial"/>
                <w:lang w:val="en-US"/>
              </w:rPr>
            </w:pPr>
          </w:p>
        </w:tc>
        <w:tc>
          <w:tcPr>
            <w:tcW w:w="1140" w:type="dxa"/>
          </w:tcPr>
          <w:p w14:paraId="1F87A47B" w14:textId="77777777" w:rsidR="00280058" w:rsidRPr="00345354" w:rsidRDefault="00280058" w:rsidP="004D4950">
            <w:pPr>
              <w:jc w:val="both"/>
              <w:rPr>
                <w:rFonts w:ascii="Arial" w:hAnsi="Arial" w:cs="Arial"/>
                <w:lang w:val="en-US"/>
              </w:rPr>
            </w:pPr>
          </w:p>
        </w:tc>
        <w:tc>
          <w:tcPr>
            <w:tcW w:w="1177" w:type="dxa"/>
          </w:tcPr>
          <w:p w14:paraId="31BDB5B6" w14:textId="77777777" w:rsidR="00280058" w:rsidRPr="00345354" w:rsidRDefault="00280058" w:rsidP="004D4950">
            <w:pPr>
              <w:jc w:val="both"/>
              <w:rPr>
                <w:rFonts w:ascii="Arial" w:hAnsi="Arial" w:cs="Arial"/>
                <w:lang w:val="en-US"/>
              </w:rPr>
            </w:pPr>
          </w:p>
        </w:tc>
        <w:tc>
          <w:tcPr>
            <w:tcW w:w="1359" w:type="dxa"/>
          </w:tcPr>
          <w:p w14:paraId="55F0D557" w14:textId="77777777" w:rsidR="00280058" w:rsidRPr="00345354" w:rsidRDefault="00280058" w:rsidP="004D4950">
            <w:pPr>
              <w:jc w:val="both"/>
              <w:rPr>
                <w:rFonts w:ascii="Arial" w:hAnsi="Arial" w:cs="Arial"/>
                <w:lang w:val="en-US"/>
              </w:rPr>
            </w:pPr>
          </w:p>
        </w:tc>
      </w:tr>
      <w:tr w:rsidR="00345354" w:rsidRPr="00345354" w14:paraId="205A7794" w14:textId="77777777" w:rsidTr="0015496B">
        <w:trPr>
          <w:jc w:val="center"/>
        </w:trPr>
        <w:tc>
          <w:tcPr>
            <w:tcW w:w="4318" w:type="dxa"/>
          </w:tcPr>
          <w:p w14:paraId="0132F130" w14:textId="67D64E60" w:rsidR="00280058" w:rsidRPr="00345354" w:rsidRDefault="00345354" w:rsidP="00345354">
            <w:pPr>
              <w:rPr>
                <w:rFonts w:ascii="Arial" w:hAnsi="Arial" w:cs="Arial"/>
                <w:lang w:val="en-US"/>
              </w:rPr>
            </w:pPr>
            <w:r w:rsidRPr="00345354">
              <w:rPr>
                <w:rFonts w:ascii="Arial" w:hAnsi="Arial" w:cs="Arial"/>
                <w:lang w:val="en-US"/>
              </w:rPr>
              <w:t>Mortgages</w:t>
            </w:r>
          </w:p>
        </w:tc>
        <w:tc>
          <w:tcPr>
            <w:tcW w:w="1236" w:type="dxa"/>
          </w:tcPr>
          <w:p w14:paraId="1A5B78F6" w14:textId="77777777" w:rsidR="00C15BEB" w:rsidRPr="00345354" w:rsidRDefault="00C15BEB" w:rsidP="004D4950">
            <w:pPr>
              <w:jc w:val="both"/>
              <w:rPr>
                <w:rFonts w:ascii="Arial" w:hAnsi="Arial" w:cs="Arial"/>
                <w:lang w:val="en-US"/>
              </w:rPr>
            </w:pPr>
          </w:p>
        </w:tc>
        <w:tc>
          <w:tcPr>
            <w:tcW w:w="1140" w:type="dxa"/>
          </w:tcPr>
          <w:p w14:paraId="423C2386" w14:textId="77777777" w:rsidR="00C15BEB" w:rsidRPr="00345354" w:rsidRDefault="00C15BEB" w:rsidP="004D4950">
            <w:pPr>
              <w:jc w:val="both"/>
              <w:rPr>
                <w:rFonts w:ascii="Arial" w:hAnsi="Arial" w:cs="Arial"/>
                <w:lang w:val="en-US"/>
              </w:rPr>
            </w:pPr>
          </w:p>
        </w:tc>
        <w:tc>
          <w:tcPr>
            <w:tcW w:w="1177" w:type="dxa"/>
          </w:tcPr>
          <w:p w14:paraId="182BACD4" w14:textId="77777777" w:rsidR="00C15BEB" w:rsidRPr="00345354" w:rsidRDefault="00C15BEB" w:rsidP="004D4950">
            <w:pPr>
              <w:jc w:val="both"/>
              <w:rPr>
                <w:rFonts w:ascii="Arial" w:hAnsi="Arial" w:cs="Arial"/>
                <w:lang w:val="en-US"/>
              </w:rPr>
            </w:pPr>
          </w:p>
        </w:tc>
        <w:tc>
          <w:tcPr>
            <w:tcW w:w="1359" w:type="dxa"/>
          </w:tcPr>
          <w:p w14:paraId="5E91F46A" w14:textId="77777777" w:rsidR="00C15BEB" w:rsidRPr="00345354" w:rsidRDefault="00C15BEB" w:rsidP="004D4950">
            <w:pPr>
              <w:jc w:val="both"/>
              <w:rPr>
                <w:rFonts w:ascii="Arial" w:hAnsi="Arial" w:cs="Arial"/>
                <w:lang w:val="en-US"/>
              </w:rPr>
            </w:pPr>
          </w:p>
        </w:tc>
      </w:tr>
      <w:tr w:rsidR="00345354" w:rsidRPr="00345354" w14:paraId="484C70D2" w14:textId="77777777" w:rsidTr="0015496B">
        <w:trPr>
          <w:jc w:val="center"/>
        </w:trPr>
        <w:tc>
          <w:tcPr>
            <w:tcW w:w="4318" w:type="dxa"/>
          </w:tcPr>
          <w:p w14:paraId="49AA1FEA" w14:textId="4CCCD6E1" w:rsidR="00280058" w:rsidRPr="00345354" w:rsidRDefault="00345354" w:rsidP="00345354">
            <w:pPr>
              <w:rPr>
                <w:rFonts w:ascii="Arial" w:hAnsi="Arial" w:cs="Arial"/>
                <w:u w:val="words"/>
                <w:lang w:val="en-US"/>
              </w:rPr>
            </w:pPr>
            <w:r w:rsidRPr="00345354">
              <w:rPr>
                <w:rFonts w:ascii="Arial" w:hAnsi="Arial" w:cs="Arial"/>
                <w:lang w:val="en-US"/>
              </w:rPr>
              <w:t>Specific provisions – Mortgages</w:t>
            </w:r>
          </w:p>
        </w:tc>
        <w:tc>
          <w:tcPr>
            <w:tcW w:w="1236" w:type="dxa"/>
          </w:tcPr>
          <w:p w14:paraId="1E9721DC" w14:textId="77777777" w:rsidR="00280058" w:rsidRPr="00345354" w:rsidRDefault="00280058" w:rsidP="004D4950">
            <w:pPr>
              <w:jc w:val="both"/>
              <w:rPr>
                <w:rFonts w:ascii="Arial" w:hAnsi="Arial" w:cs="Arial"/>
                <w:lang w:val="en-US"/>
              </w:rPr>
            </w:pPr>
          </w:p>
        </w:tc>
        <w:tc>
          <w:tcPr>
            <w:tcW w:w="1140" w:type="dxa"/>
          </w:tcPr>
          <w:p w14:paraId="26FAC433" w14:textId="77777777" w:rsidR="00280058" w:rsidRPr="00345354" w:rsidRDefault="00280058" w:rsidP="004D4950">
            <w:pPr>
              <w:jc w:val="both"/>
              <w:rPr>
                <w:rFonts w:ascii="Arial" w:hAnsi="Arial" w:cs="Arial"/>
                <w:lang w:val="en-US"/>
              </w:rPr>
            </w:pPr>
          </w:p>
        </w:tc>
        <w:tc>
          <w:tcPr>
            <w:tcW w:w="1177" w:type="dxa"/>
          </w:tcPr>
          <w:p w14:paraId="7D4592BE" w14:textId="77777777" w:rsidR="00280058" w:rsidRPr="00345354" w:rsidRDefault="00280058" w:rsidP="004D4950">
            <w:pPr>
              <w:jc w:val="both"/>
              <w:rPr>
                <w:rFonts w:ascii="Arial" w:hAnsi="Arial" w:cs="Arial"/>
                <w:lang w:val="en-US"/>
              </w:rPr>
            </w:pPr>
          </w:p>
        </w:tc>
        <w:tc>
          <w:tcPr>
            <w:tcW w:w="1359" w:type="dxa"/>
          </w:tcPr>
          <w:p w14:paraId="711B8865" w14:textId="77777777" w:rsidR="00280058" w:rsidRPr="00345354" w:rsidRDefault="00280058" w:rsidP="004D4950">
            <w:pPr>
              <w:jc w:val="both"/>
              <w:rPr>
                <w:rFonts w:ascii="Arial" w:hAnsi="Arial" w:cs="Arial"/>
                <w:lang w:val="en-US"/>
              </w:rPr>
            </w:pPr>
          </w:p>
        </w:tc>
      </w:tr>
      <w:tr w:rsidR="00345354" w:rsidRPr="00345354" w14:paraId="0950B5C5" w14:textId="77777777" w:rsidTr="0015496B">
        <w:trPr>
          <w:jc w:val="center"/>
        </w:trPr>
        <w:tc>
          <w:tcPr>
            <w:tcW w:w="4318" w:type="dxa"/>
          </w:tcPr>
          <w:p w14:paraId="3790F1F2" w14:textId="3EA0616D" w:rsidR="00C15BEB" w:rsidRPr="00345354" w:rsidRDefault="00345354" w:rsidP="00345354">
            <w:pPr>
              <w:rPr>
                <w:rFonts w:ascii="Arial" w:hAnsi="Arial" w:cs="Arial"/>
                <w:lang w:val="en-US"/>
              </w:rPr>
            </w:pPr>
            <w:r w:rsidRPr="00345354">
              <w:rPr>
                <w:rFonts w:ascii="Arial" w:hAnsi="Arial" w:cs="Arial"/>
                <w:lang w:val="en-US"/>
              </w:rPr>
              <w:t xml:space="preserve">Other loans </w:t>
            </w:r>
          </w:p>
        </w:tc>
        <w:tc>
          <w:tcPr>
            <w:tcW w:w="1236" w:type="dxa"/>
          </w:tcPr>
          <w:p w14:paraId="4E9E9998" w14:textId="77777777" w:rsidR="00C15BEB" w:rsidRPr="00345354" w:rsidRDefault="00C15BEB" w:rsidP="004D4950">
            <w:pPr>
              <w:jc w:val="both"/>
              <w:rPr>
                <w:rFonts w:ascii="Arial" w:hAnsi="Arial" w:cs="Arial"/>
                <w:lang w:val="en-US"/>
              </w:rPr>
            </w:pPr>
          </w:p>
        </w:tc>
        <w:tc>
          <w:tcPr>
            <w:tcW w:w="1140" w:type="dxa"/>
          </w:tcPr>
          <w:p w14:paraId="35773D67" w14:textId="77777777" w:rsidR="00C15BEB" w:rsidRPr="00345354" w:rsidRDefault="00C15BEB" w:rsidP="004D4950">
            <w:pPr>
              <w:jc w:val="both"/>
              <w:rPr>
                <w:rFonts w:ascii="Arial" w:hAnsi="Arial" w:cs="Arial"/>
                <w:lang w:val="en-US"/>
              </w:rPr>
            </w:pPr>
          </w:p>
        </w:tc>
        <w:tc>
          <w:tcPr>
            <w:tcW w:w="1177" w:type="dxa"/>
          </w:tcPr>
          <w:p w14:paraId="3A7B6273" w14:textId="77777777" w:rsidR="00C15BEB" w:rsidRPr="00345354" w:rsidRDefault="00C15BEB" w:rsidP="004D4950">
            <w:pPr>
              <w:jc w:val="both"/>
              <w:rPr>
                <w:rFonts w:ascii="Arial" w:hAnsi="Arial" w:cs="Arial"/>
                <w:lang w:val="en-US"/>
              </w:rPr>
            </w:pPr>
          </w:p>
        </w:tc>
        <w:tc>
          <w:tcPr>
            <w:tcW w:w="1359" w:type="dxa"/>
          </w:tcPr>
          <w:p w14:paraId="2A7C9AF0" w14:textId="77777777" w:rsidR="00C15BEB" w:rsidRPr="00345354" w:rsidRDefault="00C15BEB" w:rsidP="004D4950">
            <w:pPr>
              <w:jc w:val="both"/>
              <w:rPr>
                <w:rFonts w:ascii="Arial" w:hAnsi="Arial" w:cs="Arial"/>
                <w:lang w:val="en-US"/>
              </w:rPr>
            </w:pPr>
          </w:p>
        </w:tc>
      </w:tr>
      <w:tr w:rsidR="00345354" w:rsidRPr="0054235D" w14:paraId="0075E898" w14:textId="77777777" w:rsidTr="0015496B">
        <w:trPr>
          <w:jc w:val="center"/>
        </w:trPr>
        <w:tc>
          <w:tcPr>
            <w:tcW w:w="4318" w:type="dxa"/>
          </w:tcPr>
          <w:p w14:paraId="7859EC1A" w14:textId="6C53F7D3" w:rsidR="00280058" w:rsidRPr="00345354" w:rsidRDefault="00345354" w:rsidP="00345354">
            <w:pPr>
              <w:rPr>
                <w:rFonts w:ascii="Arial" w:hAnsi="Arial" w:cs="Arial"/>
                <w:lang w:val="en-US"/>
              </w:rPr>
            </w:pPr>
            <w:r>
              <w:rPr>
                <w:rFonts w:ascii="Arial" w:hAnsi="Arial" w:cs="Arial"/>
                <w:lang w:val="en-US"/>
              </w:rPr>
              <w:t>Specific provisions for Other loans</w:t>
            </w:r>
          </w:p>
        </w:tc>
        <w:tc>
          <w:tcPr>
            <w:tcW w:w="1236" w:type="dxa"/>
          </w:tcPr>
          <w:p w14:paraId="2CC3A1B9" w14:textId="77777777" w:rsidR="00280058" w:rsidRPr="00345354" w:rsidRDefault="00280058" w:rsidP="004D4950">
            <w:pPr>
              <w:jc w:val="both"/>
              <w:rPr>
                <w:rFonts w:ascii="Arial" w:hAnsi="Arial" w:cs="Arial"/>
                <w:lang w:val="en-US"/>
              </w:rPr>
            </w:pPr>
          </w:p>
        </w:tc>
        <w:tc>
          <w:tcPr>
            <w:tcW w:w="1140" w:type="dxa"/>
          </w:tcPr>
          <w:p w14:paraId="68200ED8" w14:textId="77777777" w:rsidR="00280058" w:rsidRPr="00345354" w:rsidRDefault="00280058" w:rsidP="004D4950">
            <w:pPr>
              <w:jc w:val="both"/>
              <w:rPr>
                <w:rFonts w:ascii="Arial" w:hAnsi="Arial" w:cs="Arial"/>
                <w:lang w:val="en-US"/>
              </w:rPr>
            </w:pPr>
          </w:p>
        </w:tc>
        <w:tc>
          <w:tcPr>
            <w:tcW w:w="1177" w:type="dxa"/>
          </w:tcPr>
          <w:p w14:paraId="30E6701A" w14:textId="77777777" w:rsidR="00280058" w:rsidRPr="00345354" w:rsidRDefault="00280058" w:rsidP="004D4950">
            <w:pPr>
              <w:jc w:val="both"/>
              <w:rPr>
                <w:rFonts w:ascii="Arial" w:hAnsi="Arial" w:cs="Arial"/>
                <w:lang w:val="en-US"/>
              </w:rPr>
            </w:pPr>
          </w:p>
        </w:tc>
        <w:tc>
          <w:tcPr>
            <w:tcW w:w="1359" w:type="dxa"/>
          </w:tcPr>
          <w:p w14:paraId="1367640C" w14:textId="77777777" w:rsidR="00280058" w:rsidRPr="00345354" w:rsidRDefault="00280058" w:rsidP="004D4950">
            <w:pPr>
              <w:jc w:val="both"/>
              <w:rPr>
                <w:rFonts w:ascii="Arial" w:hAnsi="Arial" w:cs="Arial"/>
                <w:lang w:val="en-US"/>
              </w:rPr>
            </w:pPr>
          </w:p>
        </w:tc>
      </w:tr>
      <w:tr w:rsidR="00345354" w:rsidRPr="00345354" w14:paraId="2FB071F4" w14:textId="77777777" w:rsidTr="0015496B">
        <w:trPr>
          <w:jc w:val="center"/>
        </w:trPr>
        <w:tc>
          <w:tcPr>
            <w:tcW w:w="4318" w:type="dxa"/>
          </w:tcPr>
          <w:p w14:paraId="4668C697" w14:textId="611A5217" w:rsidR="0004495E" w:rsidRPr="00345354" w:rsidRDefault="00345354" w:rsidP="00345354">
            <w:pPr>
              <w:rPr>
                <w:rFonts w:ascii="Arial" w:hAnsi="Arial" w:cs="Arial"/>
                <w:lang w:val="en-US"/>
              </w:rPr>
            </w:pPr>
            <w:r>
              <w:rPr>
                <w:rFonts w:ascii="Arial" w:hAnsi="Arial" w:cs="Arial"/>
                <w:lang w:val="en-US"/>
              </w:rPr>
              <w:t>Nonperforming loans</w:t>
            </w:r>
          </w:p>
        </w:tc>
        <w:tc>
          <w:tcPr>
            <w:tcW w:w="1236" w:type="dxa"/>
          </w:tcPr>
          <w:p w14:paraId="3C97719D" w14:textId="77777777" w:rsidR="0004495E" w:rsidRPr="00345354" w:rsidRDefault="0004495E" w:rsidP="004D4950">
            <w:pPr>
              <w:jc w:val="both"/>
              <w:rPr>
                <w:rFonts w:ascii="Arial" w:hAnsi="Arial" w:cs="Arial"/>
                <w:lang w:val="en-US"/>
              </w:rPr>
            </w:pPr>
          </w:p>
        </w:tc>
        <w:tc>
          <w:tcPr>
            <w:tcW w:w="1140" w:type="dxa"/>
          </w:tcPr>
          <w:p w14:paraId="18EE626A" w14:textId="77777777" w:rsidR="0004495E" w:rsidRPr="00345354" w:rsidRDefault="0004495E" w:rsidP="004D4950">
            <w:pPr>
              <w:jc w:val="both"/>
              <w:rPr>
                <w:rFonts w:ascii="Arial" w:hAnsi="Arial" w:cs="Arial"/>
                <w:lang w:val="en-US"/>
              </w:rPr>
            </w:pPr>
          </w:p>
        </w:tc>
        <w:tc>
          <w:tcPr>
            <w:tcW w:w="1177" w:type="dxa"/>
          </w:tcPr>
          <w:p w14:paraId="0C422FD6" w14:textId="77777777" w:rsidR="0004495E" w:rsidRPr="00345354" w:rsidRDefault="0004495E" w:rsidP="004D4950">
            <w:pPr>
              <w:jc w:val="both"/>
              <w:rPr>
                <w:rFonts w:ascii="Arial" w:hAnsi="Arial" w:cs="Arial"/>
                <w:lang w:val="en-US"/>
              </w:rPr>
            </w:pPr>
          </w:p>
        </w:tc>
        <w:tc>
          <w:tcPr>
            <w:tcW w:w="1359" w:type="dxa"/>
          </w:tcPr>
          <w:p w14:paraId="6231E87A" w14:textId="77777777" w:rsidR="0004495E" w:rsidRPr="00345354" w:rsidRDefault="0004495E" w:rsidP="004D4950">
            <w:pPr>
              <w:jc w:val="both"/>
              <w:rPr>
                <w:rFonts w:ascii="Arial" w:hAnsi="Arial" w:cs="Arial"/>
                <w:lang w:val="en-US"/>
              </w:rPr>
            </w:pPr>
          </w:p>
        </w:tc>
      </w:tr>
      <w:tr w:rsidR="00345354" w:rsidRPr="00345354" w14:paraId="7E09C676" w14:textId="77777777" w:rsidTr="0015496B">
        <w:trPr>
          <w:jc w:val="center"/>
        </w:trPr>
        <w:tc>
          <w:tcPr>
            <w:tcW w:w="4318" w:type="dxa"/>
          </w:tcPr>
          <w:p w14:paraId="1F106B1E" w14:textId="39C61319" w:rsidR="0004495E" w:rsidRPr="00345354" w:rsidRDefault="00345354" w:rsidP="00345354">
            <w:pPr>
              <w:rPr>
                <w:rFonts w:ascii="Arial" w:hAnsi="Arial" w:cs="Arial"/>
                <w:lang w:val="en-US"/>
              </w:rPr>
            </w:pPr>
            <w:r>
              <w:rPr>
                <w:rFonts w:ascii="Arial" w:hAnsi="Arial" w:cs="Arial"/>
                <w:lang w:val="en-US"/>
              </w:rPr>
              <w:t>Delinquent loans</w:t>
            </w:r>
          </w:p>
        </w:tc>
        <w:tc>
          <w:tcPr>
            <w:tcW w:w="1236" w:type="dxa"/>
          </w:tcPr>
          <w:p w14:paraId="53EA30B1" w14:textId="77777777" w:rsidR="0004495E" w:rsidRPr="00345354" w:rsidRDefault="0004495E" w:rsidP="004D4950">
            <w:pPr>
              <w:jc w:val="both"/>
              <w:rPr>
                <w:rFonts w:ascii="Arial" w:hAnsi="Arial" w:cs="Arial"/>
                <w:lang w:val="en-US"/>
              </w:rPr>
            </w:pPr>
          </w:p>
        </w:tc>
        <w:tc>
          <w:tcPr>
            <w:tcW w:w="1140" w:type="dxa"/>
          </w:tcPr>
          <w:p w14:paraId="5A5AEB7D" w14:textId="77777777" w:rsidR="0004495E" w:rsidRPr="00345354" w:rsidRDefault="0004495E" w:rsidP="004D4950">
            <w:pPr>
              <w:jc w:val="both"/>
              <w:rPr>
                <w:rFonts w:ascii="Arial" w:hAnsi="Arial" w:cs="Arial"/>
                <w:lang w:val="en-US"/>
              </w:rPr>
            </w:pPr>
          </w:p>
        </w:tc>
        <w:tc>
          <w:tcPr>
            <w:tcW w:w="1177" w:type="dxa"/>
          </w:tcPr>
          <w:p w14:paraId="6D08F78B" w14:textId="77777777" w:rsidR="0004495E" w:rsidRPr="00345354" w:rsidRDefault="0004495E" w:rsidP="004D4950">
            <w:pPr>
              <w:jc w:val="both"/>
              <w:rPr>
                <w:rFonts w:ascii="Arial" w:hAnsi="Arial" w:cs="Arial"/>
                <w:lang w:val="en-US"/>
              </w:rPr>
            </w:pPr>
          </w:p>
        </w:tc>
        <w:tc>
          <w:tcPr>
            <w:tcW w:w="1359" w:type="dxa"/>
          </w:tcPr>
          <w:p w14:paraId="0C0D873C" w14:textId="77777777" w:rsidR="0004495E" w:rsidRPr="00345354" w:rsidRDefault="0004495E" w:rsidP="004D4950">
            <w:pPr>
              <w:jc w:val="both"/>
              <w:rPr>
                <w:rFonts w:ascii="Arial" w:hAnsi="Arial" w:cs="Arial"/>
                <w:lang w:val="en-US"/>
              </w:rPr>
            </w:pPr>
          </w:p>
        </w:tc>
      </w:tr>
      <w:tr w:rsidR="00345354" w:rsidRPr="00345354" w14:paraId="6C650ED3" w14:textId="77777777" w:rsidTr="0015496B">
        <w:trPr>
          <w:jc w:val="center"/>
        </w:trPr>
        <w:tc>
          <w:tcPr>
            <w:tcW w:w="4318" w:type="dxa"/>
          </w:tcPr>
          <w:p w14:paraId="580F8983" w14:textId="4DCE2CA2" w:rsidR="0015496B" w:rsidRPr="00345354" w:rsidRDefault="00345354" w:rsidP="00345354">
            <w:pPr>
              <w:rPr>
                <w:rFonts w:ascii="Arial" w:hAnsi="Arial" w:cs="Arial"/>
                <w:lang w:val="en-US"/>
              </w:rPr>
            </w:pPr>
            <w:r>
              <w:rPr>
                <w:rFonts w:ascii="Arial" w:hAnsi="Arial" w:cs="Arial"/>
                <w:lang w:val="en-US"/>
              </w:rPr>
              <w:t>Restructured loans</w:t>
            </w:r>
          </w:p>
        </w:tc>
        <w:tc>
          <w:tcPr>
            <w:tcW w:w="1236" w:type="dxa"/>
          </w:tcPr>
          <w:p w14:paraId="671B4F1D" w14:textId="77777777" w:rsidR="0015496B" w:rsidRPr="00345354" w:rsidRDefault="0015496B" w:rsidP="004D4950">
            <w:pPr>
              <w:jc w:val="both"/>
              <w:rPr>
                <w:rFonts w:ascii="Arial" w:hAnsi="Arial" w:cs="Arial"/>
                <w:lang w:val="en-US"/>
              </w:rPr>
            </w:pPr>
          </w:p>
        </w:tc>
        <w:tc>
          <w:tcPr>
            <w:tcW w:w="1140" w:type="dxa"/>
          </w:tcPr>
          <w:p w14:paraId="1DB6F44A" w14:textId="77777777" w:rsidR="0015496B" w:rsidRPr="00345354" w:rsidRDefault="0015496B" w:rsidP="004D4950">
            <w:pPr>
              <w:jc w:val="both"/>
              <w:rPr>
                <w:rFonts w:ascii="Arial" w:hAnsi="Arial" w:cs="Arial"/>
                <w:lang w:val="en-US"/>
              </w:rPr>
            </w:pPr>
          </w:p>
        </w:tc>
        <w:tc>
          <w:tcPr>
            <w:tcW w:w="1177" w:type="dxa"/>
          </w:tcPr>
          <w:p w14:paraId="0EC66BD0" w14:textId="77777777" w:rsidR="0015496B" w:rsidRPr="00345354" w:rsidRDefault="0015496B" w:rsidP="004D4950">
            <w:pPr>
              <w:jc w:val="both"/>
              <w:rPr>
                <w:rFonts w:ascii="Arial" w:hAnsi="Arial" w:cs="Arial"/>
                <w:lang w:val="en-US"/>
              </w:rPr>
            </w:pPr>
          </w:p>
        </w:tc>
        <w:tc>
          <w:tcPr>
            <w:tcW w:w="1359" w:type="dxa"/>
          </w:tcPr>
          <w:p w14:paraId="6D22D57D" w14:textId="77777777" w:rsidR="0015496B" w:rsidRPr="00345354" w:rsidRDefault="0015496B" w:rsidP="004D4950">
            <w:pPr>
              <w:jc w:val="both"/>
              <w:rPr>
                <w:rFonts w:ascii="Arial" w:hAnsi="Arial" w:cs="Arial"/>
                <w:lang w:val="en-US"/>
              </w:rPr>
            </w:pPr>
          </w:p>
        </w:tc>
      </w:tr>
      <w:tr w:rsidR="00345354" w:rsidRPr="00345354" w14:paraId="3DF27161" w14:textId="77777777" w:rsidTr="0015496B">
        <w:trPr>
          <w:jc w:val="center"/>
        </w:trPr>
        <w:tc>
          <w:tcPr>
            <w:tcW w:w="4318" w:type="dxa"/>
          </w:tcPr>
          <w:p w14:paraId="7BF69C93" w14:textId="5477987C" w:rsidR="0015496B" w:rsidRPr="00345354" w:rsidRDefault="00345354" w:rsidP="00345354">
            <w:pPr>
              <w:rPr>
                <w:rFonts w:ascii="Arial" w:hAnsi="Arial" w:cs="Arial"/>
                <w:b/>
                <w:lang w:val="en-US"/>
              </w:rPr>
            </w:pPr>
            <w:r>
              <w:rPr>
                <w:rFonts w:ascii="Arial" w:hAnsi="Arial" w:cs="Arial"/>
                <w:b/>
                <w:lang w:val="en-US"/>
              </w:rPr>
              <w:t>Total liabilities</w:t>
            </w:r>
          </w:p>
        </w:tc>
        <w:tc>
          <w:tcPr>
            <w:tcW w:w="1236" w:type="dxa"/>
          </w:tcPr>
          <w:p w14:paraId="3EE1B135" w14:textId="77777777" w:rsidR="0015496B" w:rsidRPr="00345354" w:rsidRDefault="0015496B" w:rsidP="004D4950">
            <w:pPr>
              <w:jc w:val="both"/>
              <w:rPr>
                <w:rFonts w:ascii="Arial" w:hAnsi="Arial" w:cs="Arial"/>
                <w:lang w:val="en-US"/>
              </w:rPr>
            </w:pPr>
          </w:p>
        </w:tc>
        <w:tc>
          <w:tcPr>
            <w:tcW w:w="1140" w:type="dxa"/>
          </w:tcPr>
          <w:p w14:paraId="73581731" w14:textId="77777777" w:rsidR="0015496B" w:rsidRPr="00345354" w:rsidRDefault="0015496B" w:rsidP="004D4950">
            <w:pPr>
              <w:jc w:val="both"/>
              <w:rPr>
                <w:rFonts w:ascii="Arial" w:hAnsi="Arial" w:cs="Arial"/>
                <w:lang w:val="en-US"/>
              </w:rPr>
            </w:pPr>
          </w:p>
        </w:tc>
        <w:tc>
          <w:tcPr>
            <w:tcW w:w="1177" w:type="dxa"/>
          </w:tcPr>
          <w:p w14:paraId="157EA3F2" w14:textId="77777777" w:rsidR="0015496B" w:rsidRPr="00345354" w:rsidRDefault="0015496B" w:rsidP="004D4950">
            <w:pPr>
              <w:jc w:val="both"/>
              <w:rPr>
                <w:rFonts w:ascii="Arial" w:hAnsi="Arial" w:cs="Arial"/>
                <w:lang w:val="en-US"/>
              </w:rPr>
            </w:pPr>
          </w:p>
        </w:tc>
        <w:tc>
          <w:tcPr>
            <w:tcW w:w="1359" w:type="dxa"/>
          </w:tcPr>
          <w:p w14:paraId="3664392E" w14:textId="77777777" w:rsidR="0015496B" w:rsidRPr="00345354" w:rsidRDefault="0015496B" w:rsidP="004D4950">
            <w:pPr>
              <w:jc w:val="both"/>
              <w:rPr>
                <w:rFonts w:ascii="Arial" w:hAnsi="Arial" w:cs="Arial"/>
                <w:lang w:val="en-US"/>
              </w:rPr>
            </w:pPr>
          </w:p>
        </w:tc>
      </w:tr>
      <w:tr w:rsidR="00345354" w:rsidRPr="00345354" w14:paraId="17936660" w14:textId="77777777" w:rsidTr="0015496B">
        <w:trPr>
          <w:jc w:val="center"/>
        </w:trPr>
        <w:tc>
          <w:tcPr>
            <w:tcW w:w="4318" w:type="dxa"/>
          </w:tcPr>
          <w:p w14:paraId="18F45DA6" w14:textId="4FEC6D7D" w:rsidR="0015496B" w:rsidRPr="00345354" w:rsidRDefault="00345354" w:rsidP="004D4950">
            <w:pPr>
              <w:rPr>
                <w:rFonts w:ascii="Arial" w:hAnsi="Arial" w:cs="Arial"/>
                <w:lang w:val="en-US"/>
              </w:rPr>
            </w:pPr>
            <w:r>
              <w:rPr>
                <w:rFonts w:ascii="Arial" w:hAnsi="Arial" w:cs="Arial"/>
                <w:lang w:val="en-US"/>
              </w:rPr>
              <w:t>Deposits</w:t>
            </w:r>
          </w:p>
        </w:tc>
        <w:tc>
          <w:tcPr>
            <w:tcW w:w="1236" w:type="dxa"/>
          </w:tcPr>
          <w:p w14:paraId="71B960C0" w14:textId="77777777" w:rsidR="0015496B" w:rsidRPr="00345354" w:rsidRDefault="0015496B" w:rsidP="004D4950">
            <w:pPr>
              <w:jc w:val="both"/>
              <w:rPr>
                <w:rFonts w:ascii="Arial" w:hAnsi="Arial" w:cs="Arial"/>
                <w:lang w:val="en-US"/>
              </w:rPr>
            </w:pPr>
          </w:p>
        </w:tc>
        <w:tc>
          <w:tcPr>
            <w:tcW w:w="1140" w:type="dxa"/>
          </w:tcPr>
          <w:p w14:paraId="6FC18F79" w14:textId="77777777" w:rsidR="0015496B" w:rsidRPr="00345354" w:rsidRDefault="0015496B" w:rsidP="004D4950">
            <w:pPr>
              <w:jc w:val="both"/>
              <w:rPr>
                <w:rFonts w:ascii="Arial" w:hAnsi="Arial" w:cs="Arial"/>
                <w:lang w:val="en-US"/>
              </w:rPr>
            </w:pPr>
          </w:p>
        </w:tc>
        <w:tc>
          <w:tcPr>
            <w:tcW w:w="1177" w:type="dxa"/>
          </w:tcPr>
          <w:p w14:paraId="6FA9FA2F" w14:textId="77777777" w:rsidR="0015496B" w:rsidRPr="00345354" w:rsidRDefault="0015496B" w:rsidP="004D4950">
            <w:pPr>
              <w:jc w:val="both"/>
              <w:rPr>
                <w:rFonts w:ascii="Arial" w:hAnsi="Arial" w:cs="Arial"/>
                <w:lang w:val="en-US"/>
              </w:rPr>
            </w:pPr>
          </w:p>
        </w:tc>
        <w:tc>
          <w:tcPr>
            <w:tcW w:w="1359" w:type="dxa"/>
          </w:tcPr>
          <w:p w14:paraId="66EFC632" w14:textId="77777777" w:rsidR="0015496B" w:rsidRPr="00345354" w:rsidRDefault="0015496B" w:rsidP="004D4950">
            <w:pPr>
              <w:jc w:val="both"/>
              <w:rPr>
                <w:rFonts w:ascii="Arial" w:hAnsi="Arial" w:cs="Arial"/>
                <w:lang w:val="en-US"/>
              </w:rPr>
            </w:pPr>
          </w:p>
        </w:tc>
      </w:tr>
      <w:tr w:rsidR="00345354" w:rsidRPr="00345354" w14:paraId="7F9EF111" w14:textId="77777777" w:rsidTr="0015496B">
        <w:trPr>
          <w:jc w:val="center"/>
        </w:trPr>
        <w:tc>
          <w:tcPr>
            <w:tcW w:w="4318" w:type="dxa"/>
          </w:tcPr>
          <w:p w14:paraId="0CCB2E2B" w14:textId="44E99AB5" w:rsidR="0015496B" w:rsidRPr="00345354" w:rsidRDefault="0015496B" w:rsidP="00345354">
            <w:pPr>
              <w:rPr>
                <w:rFonts w:ascii="Arial" w:hAnsi="Arial" w:cs="Arial"/>
                <w:lang w:val="en-US"/>
              </w:rPr>
            </w:pPr>
            <w:r w:rsidRPr="00345354">
              <w:rPr>
                <w:rFonts w:ascii="Arial" w:hAnsi="Arial" w:cs="Arial"/>
                <w:lang w:val="en-US"/>
              </w:rPr>
              <w:t>Obliga</w:t>
            </w:r>
            <w:r w:rsidR="00345354">
              <w:rPr>
                <w:rFonts w:ascii="Arial" w:hAnsi="Arial" w:cs="Arial"/>
                <w:lang w:val="en-US"/>
              </w:rPr>
              <w:t>tions</w:t>
            </w:r>
          </w:p>
        </w:tc>
        <w:tc>
          <w:tcPr>
            <w:tcW w:w="1236" w:type="dxa"/>
          </w:tcPr>
          <w:p w14:paraId="69B6F16C" w14:textId="77777777" w:rsidR="0015496B" w:rsidRPr="00345354" w:rsidRDefault="0015496B" w:rsidP="004D4950">
            <w:pPr>
              <w:jc w:val="both"/>
              <w:rPr>
                <w:rFonts w:ascii="Arial" w:hAnsi="Arial" w:cs="Arial"/>
                <w:lang w:val="en-US"/>
              </w:rPr>
            </w:pPr>
          </w:p>
        </w:tc>
        <w:tc>
          <w:tcPr>
            <w:tcW w:w="1140" w:type="dxa"/>
          </w:tcPr>
          <w:p w14:paraId="2A58B937" w14:textId="77777777" w:rsidR="0015496B" w:rsidRPr="00345354" w:rsidRDefault="0015496B" w:rsidP="004D4950">
            <w:pPr>
              <w:jc w:val="both"/>
              <w:rPr>
                <w:rFonts w:ascii="Arial" w:hAnsi="Arial" w:cs="Arial"/>
                <w:lang w:val="en-US"/>
              </w:rPr>
            </w:pPr>
          </w:p>
        </w:tc>
        <w:tc>
          <w:tcPr>
            <w:tcW w:w="1177" w:type="dxa"/>
          </w:tcPr>
          <w:p w14:paraId="28C64BEC" w14:textId="77777777" w:rsidR="0015496B" w:rsidRPr="00345354" w:rsidRDefault="0015496B" w:rsidP="004D4950">
            <w:pPr>
              <w:jc w:val="both"/>
              <w:rPr>
                <w:rFonts w:ascii="Arial" w:hAnsi="Arial" w:cs="Arial"/>
                <w:lang w:val="en-US"/>
              </w:rPr>
            </w:pPr>
          </w:p>
        </w:tc>
        <w:tc>
          <w:tcPr>
            <w:tcW w:w="1359" w:type="dxa"/>
          </w:tcPr>
          <w:p w14:paraId="5A5B6783" w14:textId="77777777" w:rsidR="0015496B" w:rsidRPr="00345354" w:rsidRDefault="0015496B" w:rsidP="004D4950">
            <w:pPr>
              <w:jc w:val="both"/>
              <w:rPr>
                <w:rFonts w:ascii="Arial" w:hAnsi="Arial" w:cs="Arial"/>
                <w:lang w:val="en-US"/>
              </w:rPr>
            </w:pPr>
          </w:p>
        </w:tc>
      </w:tr>
      <w:tr w:rsidR="00345354" w:rsidRPr="00345354" w14:paraId="62397EEB" w14:textId="77777777" w:rsidTr="0015496B">
        <w:trPr>
          <w:jc w:val="center"/>
        </w:trPr>
        <w:tc>
          <w:tcPr>
            <w:tcW w:w="4318" w:type="dxa"/>
          </w:tcPr>
          <w:p w14:paraId="0F930946" w14:textId="1E49681C" w:rsidR="0015496B" w:rsidRPr="00345354" w:rsidRDefault="00345354" w:rsidP="00345354">
            <w:pPr>
              <w:rPr>
                <w:rFonts w:ascii="Arial" w:hAnsi="Arial" w:cs="Arial"/>
                <w:b/>
                <w:lang w:val="en-US"/>
              </w:rPr>
            </w:pPr>
            <w:r>
              <w:rPr>
                <w:rFonts w:ascii="Arial" w:hAnsi="Arial" w:cs="Arial"/>
                <w:b/>
                <w:lang w:val="en-US"/>
              </w:rPr>
              <w:t>Capital funds</w:t>
            </w:r>
          </w:p>
        </w:tc>
        <w:tc>
          <w:tcPr>
            <w:tcW w:w="1236" w:type="dxa"/>
          </w:tcPr>
          <w:p w14:paraId="16D76BB8" w14:textId="77777777" w:rsidR="0015496B" w:rsidRPr="00345354" w:rsidRDefault="0015496B" w:rsidP="004D4950">
            <w:pPr>
              <w:jc w:val="both"/>
              <w:rPr>
                <w:rFonts w:ascii="Arial" w:hAnsi="Arial" w:cs="Arial"/>
                <w:lang w:val="en-US"/>
              </w:rPr>
            </w:pPr>
          </w:p>
        </w:tc>
        <w:tc>
          <w:tcPr>
            <w:tcW w:w="1140" w:type="dxa"/>
          </w:tcPr>
          <w:p w14:paraId="614C288A" w14:textId="77777777" w:rsidR="0015496B" w:rsidRPr="00345354" w:rsidRDefault="0015496B" w:rsidP="004D4950">
            <w:pPr>
              <w:jc w:val="both"/>
              <w:rPr>
                <w:rFonts w:ascii="Arial" w:hAnsi="Arial" w:cs="Arial"/>
                <w:lang w:val="en-US"/>
              </w:rPr>
            </w:pPr>
          </w:p>
        </w:tc>
        <w:tc>
          <w:tcPr>
            <w:tcW w:w="1177" w:type="dxa"/>
          </w:tcPr>
          <w:p w14:paraId="41BC26E6" w14:textId="77777777" w:rsidR="0015496B" w:rsidRPr="00345354" w:rsidRDefault="0015496B" w:rsidP="004D4950">
            <w:pPr>
              <w:jc w:val="both"/>
              <w:rPr>
                <w:rFonts w:ascii="Arial" w:hAnsi="Arial" w:cs="Arial"/>
                <w:lang w:val="en-US"/>
              </w:rPr>
            </w:pPr>
          </w:p>
        </w:tc>
        <w:tc>
          <w:tcPr>
            <w:tcW w:w="1359" w:type="dxa"/>
          </w:tcPr>
          <w:p w14:paraId="6A2D2D8E" w14:textId="77777777" w:rsidR="0015496B" w:rsidRPr="00345354" w:rsidRDefault="0015496B" w:rsidP="004D4950">
            <w:pPr>
              <w:jc w:val="both"/>
              <w:rPr>
                <w:rFonts w:ascii="Arial" w:hAnsi="Arial" w:cs="Arial"/>
                <w:lang w:val="en-US"/>
              </w:rPr>
            </w:pPr>
          </w:p>
        </w:tc>
      </w:tr>
      <w:tr w:rsidR="00345354" w:rsidRPr="00345354" w14:paraId="46697607" w14:textId="77777777" w:rsidTr="0015496B">
        <w:trPr>
          <w:jc w:val="center"/>
        </w:trPr>
        <w:tc>
          <w:tcPr>
            <w:tcW w:w="4318" w:type="dxa"/>
          </w:tcPr>
          <w:p w14:paraId="52C6F182" w14:textId="132D28B1" w:rsidR="0015496B" w:rsidRPr="00345354" w:rsidRDefault="003422CE" w:rsidP="00345354">
            <w:pPr>
              <w:rPr>
                <w:rFonts w:ascii="Arial" w:hAnsi="Arial" w:cs="Arial"/>
                <w:lang w:val="en-US"/>
              </w:rPr>
            </w:pPr>
            <w:r>
              <w:rPr>
                <w:rFonts w:ascii="Arial" w:hAnsi="Arial" w:cs="Arial"/>
                <w:lang w:val="en-US"/>
              </w:rPr>
              <w:t>Accrued profits</w:t>
            </w:r>
          </w:p>
        </w:tc>
        <w:tc>
          <w:tcPr>
            <w:tcW w:w="1236" w:type="dxa"/>
          </w:tcPr>
          <w:p w14:paraId="352BF6E6" w14:textId="77777777" w:rsidR="0015496B" w:rsidRPr="00345354" w:rsidRDefault="0015496B" w:rsidP="004D4950">
            <w:pPr>
              <w:jc w:val="both"/>
              <w:rPr>
                <w:rFonts w:ascii="Arial" w:hAnsi="Arial" w:cs="Arial"/>
                <w:lang w:val="en-US"/>
              </w:rPr>
            </w:pPr>
          </w:p>
        </w:tc>
        <w:tc>
          <w:tcPr>
            <w:tcW w:w="1140" w:type="dxa"/>
          </w:tcPr>
          <w:p w14:paraId="72AB93E4" w14:textId="77777777" w:rsidR="0015496B" w:rsidRPr="00345354" w:rsidRDefault="0015496B" w:rsidP="004D4950">
            <w:pPr>
              <w:jc w:val="both"/>
              <w:rPr>
                <w:rFonts w:ascii="Arial" w:hAnsi="Arial" w:cs="Arial"/>
                <w:lang w:val="en-US"/>
              </w:rPr>
            </w:pPr>
          </w:p>
        </w:tc>
        <w:tc>
          <w:tcPr>
            <w:tcW w:w="1177" w:type="dxa"/>
          </w:tcPr>
          <w:p w14:paraId="3B5596D4" w14:textId="77777777" w:rsidR="0015496B" w:rsidRPr="00345354" w:rsidRDefault="0015496B" w:rsidP="004D4950">
            <w:pPr>
              <w:jc w:val="both"/>
              <w:rPr>
                <w:rFonts w:ascii="Arial" w:hAnsi="Arial" w:cs="Arial"/>
                <w:lang w:val="en-US"/>
              </w:rPr>
            </w:pPr>
          </w:p>
        </w:tc>
        <w:tc>
          <w:tcPr>
            <w:tcW w:w="1359" w:type="dxa"/>
          </w:tcPr>
          <w:p w14:paraId="5D880660" w14:textId="77777777" w:rsidR="0015496B" w:rsidRPr="00345354" w:rsidRDefault="0015496B" w:rsidP="004D4950">
            <w:pPr>
              <w:jc w:val="both"/>
              <w:rPr>
                <w:rFonts w:ascii="Arial" w:hAnsi="Arial" w:cs="Arial"/>
                <w:lang w:val="en-US"/>
              </w:rPr>
            </w:pPr>
          </w:p>
        </w:tc>
      </w:tr>
      <w:tr w:rsidR="00345354" w:rsidRPr="00345354" w14:paraId="11237B71" w14:textId="77777777" w:rsidTr="0015496B">
        <w:trPr>
          <w:jc w:val="center"/>
        </w:trPr>
        <w:tc>
          <w:tcPr>
            <w:tcW w:w="4318" w:type="dxa"/>
          </w:tcPr>
          <w:p w14:paraId="56E1CC9F" w14:textId="36C9CF92" w:rsidR="00777D95" w:rsidRPr="00345354" w:rsidRDefault="00345354" w:rsidP="004D4950">
            <w:pPr>
              <w:rPr>
                <w:rFonts w:ascii="Arial" w:hAnsi="Arial" w:cs="Arial"/>
                <w:lang w:val="en-US"/>
              </w:rPr>
            </w:pPr>
            <w:r>
              <w:rPr>
                <w:rFonts w:ascii="Arial" w:hAnsi="Arial" w:cs="Arial"/>
                <w:lang w:val="en-US"/>
              </w:rPr>
              <w:t>Interest income</w:t>
            </w:r>
          </w:p>
        </w:tc>
        <w:tc>
          <w:tcPr>
            <w:tcW w:w="1236" w:type="dxa"/>
          </w:tcPr>
          <w:p w14:paraId="2F73E70D" w14:textId="77777777" w:rsidR="00777D95" w:rsidRPr="00345354" w:rsidRDefault="00777D95" w:rsidP="004D4950">
            <w:pPr>
              <w:jc w:val="both"/>
              <w:rPr>
                <w:rFonts w:ascii="Arial" w:hAnsi="Arial" w:cs="Arial"/>
                <w:lang w:val="en-US"/>
              </w:rPr>
            </w:pPr>
          </w:p>
        </w:tc>
        <w:tc>
          <w:tcPr>
            <w:tcW w:w="1140" w:type="dxa"/>
          </w:tcPr>
          <w:p w14:paraId="0C7397CC" w14:textId="77777777" w:rsidR="00777D95" w:rsidRPr="00345354" w:rsidRDefault="00777D95" w:rsidP="004D4950">
            <w:pPr>
              <w:jc w:val="both"/>
              <w:rPr>
                <w:rFonts w:ascii="Arial" w:hAnsi="Arial" w:cs="Arial"/>
                <w:lang w:val="en-US"/>
              </w:rPr>
            </w:pPr>
          </w:p>
        </w:tc>
        <w:tc>
          <w:tcPr>
            <w:tcW w:w="1177" w:type="dxa"/>
          </w:tcPr>
          <w:p w14:paraId="499317D1" w14:textId="77777777" w:rsidR="00777D95" w:rsidRPr="00345354" w:rsidRDefault="00777D95" w:rsidP="004D4950">
            <w:pPr>
              <w:jc w:val="both"/>
              <w:rPr>
                <w:rFonts w:ascii="Arial" w:hAnsi="Arial" w:cs="Arial"/>
                <w:lang w:val="en-US"/>
              </w:rPr>
            </w:pPr>
          </w:p>
        </w:tc>
        <w:tc>
          <w:tcPr>
            <w:tcW w:w="1359" w:type="dxa"/>
          </w:tcPr>
          <w:p w14:paraId="2B059B4C" w14:textId="77777777" w:rsidR="00777D95" w:rsidRPr="00345354" w:rsidRDefault="00777D95" w:rsidP="004D4950">
            <w:pPr>
              <w:jc w:val="both"/>
              <w:rPr>
                <w:rFonts w:ascii="Arial" w:hAnsi="Arial" w:cs="Arial"/>
                <w:lang w:val="en-US"/>
              </w:rPr>
            </w:pPr>
          </w:p>
        </w:tc>
      </w:tr>
      <w:tr w:rsidR="00345354" w:rsidRPr="00345354" w14:paraId="32C1CC6A" w14:textId="77777777" w:rsidTr="0015496B">
        <w:trPr>
          <w:jc w:val="center"/>
        </w:trPr>
        <w:tc>
          <w:tcPr>
            <w:tcW w:w="4318" w:type="dxa"/>
          </w:tcPr>
          <w:p w14:paraId="194366CF" w14:textId="459F6395" w:rsidR="00777D95" w:rsidRPr="00345354" w:rsidRDefault="00345354" w:rsidP="004D4950">
            <w:pPr>
              <w:rPr>
                <w:rFonts w:ascii="Arial" w:hAnsi="Arial" w:cs="Arial"/>
                <w:lang w:val="en-US"/>
              </w:rPr>
            </w:pPr>
            <w:r>
              <w:rPr>
                <w:rFonts w:ascii="Arial" w:hAnsi="Arial" w:cs="Arial"/>
                <w:lang w:val="en-US"/>
              </w:rPr>
              <w:t>Paid interest expenses</w:t>
            </w:r>
          </w:p>
        </w:tc>
        <w:tc>
          <w:tcPr>
            <w:tcW w:w="1236" w:type="dxa"/>
          </w:tcPr>
          <w:p w14:paraId="49CBD4FC" w14:textId="77777777" w:rsidR="00777D95" w:rsidRPr="00345354" w:rsidRDefault="00777D95" w:rsidP="004D4950">
            <w:pPr>
              <w:jc w:val="both"/>
              <w:rPr>
                <w:rFonts w:ascii="Arial" w:hAnsi="Arial" w:cs="Arial"/>
                <w:lang w:val="en-US"/>
              </w:rPr>
            </w:pPr>
          </w:p>
        </w:tc>
        <w:tc>
          <w:tcPr>
            <w:tcW w:w="1140" w:type="dxa"/>
          </w:tcPr>
          <w:p w14:paraId="2BB6B3D2" w14:textId="77777777" w:rsidR="00777D95" w:rsidRPr="00345354" w:rsidRDefault="00777D95" w:rsidP="004D4950">
            <w:pPr>
              <w:jc w:val="both"/>
              <w:rPr>
                <w:rFonts w:ascii="Arial" w:hAnsi="Arial" w:cs="Arial"/>
                <w:lang w:val="en-US"/>
              </w:rPr>
            </w:pPr>
          </w:p>
        </w:tc>
        <w:tc>
          <w:tcPr>
            <w:tcW w:w="1177" w:type="dxa"/>
          </w:tcPr>
          <w:p w14:paraId="1B1D44D3" w14:textId="77777777" w:rsidR="00777D95" w:rsidRPr="00345354" w:rsidRDefault="00777D95" w:rsidP="004D4950">
            <w:pPr>
              <w:jc w:val="both"/>
              <w:rPr>
                <w:rFonts w:ascii="Arial" w:hAnsi="Arial" w:cs="Arial"/>
                <w:lang w:val="en-US"/>
              </w:rPr>
            </w:pPr>
          </w:p>
        </w:tc>
        <w:tc>
          <w:tcPr>
            <w:tcW w:w="1359" w:type="dxa"/>
          </w:tcPr>
          <w:p w14:paraId="4CE61BB5" w14:textId="77777777" w:rsidR="00777D95" w:rsidRPr="00345354" w:rsidRDefault="00777D95" w:rsidP="004D4950">
            <w:pPr>
              <w:jc w:val="both"/>
              <w:rPr>
                <w:rFonts w:ascii="Arial" w:hAnsi="Arial" w:cs="Arial"/>
                <w:lang w:val="en-US"/>
              </w:rPr>
            </w:pPr>
          </w:p>
        </w:tc>
      </w:tr>
      <w:tr w:rsidR="00345354" w:rsidRPr="00345354" w14:paraId="6FD5670A" w14:textId="77777777" w:rsidTr="0015496B">
        <w:trPr>
          <w:jc w:val="center"/>
        </w:trPr>
        <w:tc>
          <w:tcPr>
            <w:tcW w:w="4318" w:type="dxa"/>
          </w:tcPr>
          <w:p w14:paraId="4FCBDA4B" w14:textId="06A1792F" w:rsidR="00777D95" w:rsidRPr="00345354" w:rsidRDefault="00345354" w:rsidP="00345354">
            <w:pPr>
              <w:rPr>
                <w:rFonts w:ascii="Arial" w:hAnsi="Arial" w:cs="Arial"/>
                <w:lang w:val="en-US"/>
              </w:rPr>
            </w:pPr>
            <w:r>
              <w:rPr>
                <w:rFonts w:ascii="Arial" w:hAnsi="Arial" w:cs="Arial"/>
                <w:lang w:val="en-US"/>
              </w:rPr>
              <w:t>Bad debt expenses</w:t>
            </w:r>
          </w:p>
        </w:tc>
        <w:tc>
          <w:tcPr>
            <w:tcW w:w="1236" w:type="dxa"/>
          </w:tcPr>
          <w:p w14:paraId="5A825CA4" w14:textId="77777777" w:rsidR="00777D95" w:rsidRPr="00345354" w:rsidRDefault="00777D95" w:rsidP="004D4950">
            <w:pPr>
              <w:jc w:val="both"/>
              <w:rPr>
                <w:rFonts w:ascii="Arial" w:hAnsi="Arial" w:cs="Arial"/>
                <w:lang w:val="en-US"/>
              </w:rPr>
            </w:pPr>
          </w:p>
        </w:tc>
        <w:tc>
          <w:tcPr>
            <w:tcW w:w="1140" w:type="dxa"/>
          </w:tcPr>
          <w:p w14:paraId="5628E0E9" w14:textId="77777777" w:rsidR="00777D95" w:rsidRPr="00345354" w:rsidRDefault="00777D95" w:rsidP="004D4950">
            <w:pPr>
              <w:jc w:val="both"/>
              <w:rPr>
                <w:rFonts w:ascii="Arial" w:hAnsi="Arial" w:cs="Arial"/>
                <w:lang w:val="en-US"/>
              </w:rPr>
            </w:pPr>
          </w:p>
        </w:tc>
        <w:tc>
          <w:tcPr>
            <w:tcW w:w="1177" w:type="dxa"/>
          </w:tcPr>
          <w:p w14:paraId="7949229B" w14:textId="77777777" w:rsidR="00777D95" w:rsidRPr="00345354" w:rsidRDefault="00777D95" w:rsidP="004D4950">
            <w:pPr>
              <w:jc w:val="both"/>
              <w:rPr>
                <w:rFonts w:ascii="Arial" w:hAnsi="Arial" w:cs="Arial"/>
                <w:lang w:val="en-US"/>
              </w:rPr>
            </w:pPr>
          </w:p>
        </w:tc>
        <w:tc>
          <w:tcPr>
            <w:tcW w:w="1359" w:type="dxa"/>
          </w:tcPr>
          <w:p w14:paraId="05C19DF5" w14:textId="77777777" w:rsidR="00777D95" w:rsidRPr="00345354" w:rsidRDefault="00777D95" w:rsidP="004D4950">
            <w:pPr>
              <w:jc w:val="both"/>
              <w:rPr>
                <w:rFonts w:ascii="Arial" w:hAnsi="Arial" w:cs="Arial"/>
                <w:lang w:val="en-US"/>
              </w:rPr>
            </w:pPr>
          </w:p>
        </w:tc>
      </w:tr>
      <w:tr w:rsidR="00345354" w:rsidRPr="0054235D" w14:paraId="38F1A59E" w14:textId="77777777" w:rsidTr="0015496B">
        <w:trPr>
          <w:jc w:val="center"/>
        </w:trPr>
        <w:tc>
          <w:tcPr>
            <w:tcW w:w="4318" w:type="dxa"/>
          </w:tcPr>
          <w:p w14:paraId="68DEDCD2" w14:textId="150F0667" w:rsidR="00777D95" w:rsidRPr="00345354" w:rsidRDefault="00345354" w:rsidP="00345354">
            <w:pPr>
              <w:rPr>
                <w:rFonts w:ascii="Arial" w:hAnsi="Arial" w:cs="Arial"/>
                <w:lang w:val="en-US"/>
              </w:rPr>
            </w:pPr>
            <w:r w:rsidRPr="00345354">
              <w:rPr>
                <w:rFonts w:ascii="Arial" w:hAnsi="Arial" w:cs="Arial"/>
                <w:lang w:val="en-US"/>
              </w:rPr>
              <w:t>Service fees minus paid fees</w:t>
            </w:r>
          </w:p>
        </w:tc>
        <w:tc>
          <w:tcPr>
            <w:tcW w:w="1236" w:type="dxa"/>
          </w:tcPr>
          <w:p w14:paraId="48CA5D99" w14:textId="77777777" w:rsidR="00777D95" w:rsidRPr="00345354" w:rsidRDefault="00777D95" w:rsidP="004D4950">
            <w:pPr>
              <w:jc w:val="both"/>
              <w:rPr>
                <w:rFonts w:ascii="Arial" w:hAnsi="Arial" w:cs="Arial"/>
                <w:lang w:val="en-US"/>
              </w:rPr>
            </w:pPr>
          </w:p>
        </w:tc>
        <w:tc>
          <w:tcPr>
            <w:tcW w:w="1140" w:type="dxa"/>
          </w:tcPr>
          <w:p w14:paraId="16759359" w14:textId="77777777" w:rsidR="00777D95" w:rsidRPr="00345354" w:rsidRDefault="00777D95" w:rsidP="004D4950">
            <w:pPr>
              <w:jc w:val="both"/>
              <w:rPr>
                <w:rFonts w:ascii="Arial" w:hAnsi="Arial" w:cs="Arial"/>
                <w:lang w:val="en-US"/>
              </w:rPr>
            </w:pPr>
          </w:p>
        </w:tc>
        <w:tc>
          <w:tcPr>
            <w:tcW w:w="1177" w:type="dxa"/>
          </w:tcPr>
          <w:p w14:paraId="37A26BDD" w14:textId="77777777" w:rsidR="00777D95" w:rsidRPr="00345354" w:rsidRDefault="00777D95" w:rsidP="004D4950">
            <w:pPr>
              <w:jc w:val="both"/>
              <w:rPr>
                <w:rFonts w:ascii="Arial" w:hAnsi="Arial" w:cs="Arial"/>
                <w:lang w:val="en-US"/>
              </w:rPr>
            </w:pPr>
          </w:p>
        </w:tc>
        <w:tc>
          <w:tcPr>
            <w:tcW w:w="1359" w:type="dxa"/>
          </w:tcPr>
          <w:p w14:paraId="6D10CF67" w14:textId="77777777" w:rsidR="00777D95" w:rsidRPr="00345354" w:rsidRDefault="00777D95" w:rsidP="004D4950">
            <w:pPr>
              <w:jc w:val="both"/>
              <w:rPr>
                <w:rFonts w:ascii="Arial" w:hAnsi="Arial" w:cs="Arial"/>
                <w:lang w:val="en-US"/>
              </w:rPr>
            </w:pPr>
          </w:p>
        </w:tc>
      </w:tr>
      <w:tr w:rsidR="00345354" w:rsidRPr="00345354" w14:paraId="43CC62EF" w14:textId="77777777" w:rsidTr="0015496B">
        <w:trPr>
          <w:jc w:val="center"/>
        </w:trPr>
        <w:tc>
          <w:tcPr>
            <w:tcW w:w="4318" w:type="dxa"/>
          </w:tcPr>
          <w:p w14:paraId="296B7A56" w14:textId="1851E913" w:rsidR="009D15A2" w:rsidRPr="00345354" w:rsidRDefault="00345354" w:rsidP="00345354">
            <w:pPr>
              <w:rPr>
                <w:rFonts w:ascii="Arial" w:hAnsi="Arial" w:cs="Arial"/>
                <w:lang w:val="en-US"/>
              </w:rPr>
            </w:pPr>
            <w:r>
              <w:rPr>
                <w:rFonts w:ascii="Arial" w:hAnsi="Arial" w:cs="Arial"/>
                <w:lang w:val="en-US"/>
              </w:rPr>
              <w:t>Administrative expenses</w:t>
            </w:r>
          </w:p>
        </w:tc>
        <w:tc>
          <w:tcPr>
            <w:tcW w:w="1236" w:type="dxa"/>
          </w:tcPr>
          <w:p w14:paraId="1B410A37" w14:textId="77777777" w:rsidR="009D15A2" w:rsidRPr="00345354" w:rsidRDefault="009D15A2" w:rsidP="004D4950">
            <w:pPr>
              <w:jc w:val="both"/>
              <w:rPr>
                <w:rFonts w:ascii="Arial" w:hAnsi="Arial" w:cs="Arial"/>
                <w:lang w:val="en-US"/>
              </w:rPr>
            </w:pPr>
          </w:p>
        </w:tc>
        <w:tc>
          <w:tcPr>
            <w:tcW w:w="1140" w:type="dxa"/>
          </w:tcPr>
          <w:p w14:paraId="293192B5" w14:textId="77777777" w:rsidR="009D15A2" w:rsidRPr="00345354" w:rsidRDefault="009D15A2" w:rsidP="004D4950">
            <w:pPr>
              <w:jc w:val="both"/>
              <w:rPr>
                <w:rFonts w:ascii="Arial" w:hAnsi="Arial" w:cs="Arial"/>
                <w:lang w:val="en-US"/>
              </w:rPr>
            </w:pPr>
          </w:p>
        </w:tc>
        <w:tc>
          <w:tcPr>
            <w:tcW w:w="1177" w:type="dxa"/>
          </w:tcPr>
          <w:p w14:paraId="6DD60277" w14:textId="77777777" w:rsidR="009D15A2" w:rsidRPr="00345354" w:rsidRDefault="009D15A2" w:rsidP="004D4950">
            <w:pPr>
              <w:jc w:val="both"/>
              <w:rPr>
                <w:rFonts w:ascii="Arial" w:hAnsi="Arial" w:cs="Arial"/>
                <w:lang w:val="en-US"/>
              </w:rPr>
            </w:pPr>
          </w:p>
        </w:tc>
        <w:tc>
          <w:tcPr>
            <w:tcW w:w="1359" w:type="dxa"/>
          </w:tcPr>
          <w:p w14:paraId="462991D5" w14:textId="77777777" w:rsidR="009D15A2" w:rsidRPr="00345354" w:rsidRDefault="009D15A2" w:rsidP="004D4950">
            <w:pPr>
              <w:jc w:val="both"/>
              <w:rPr>
                <w:rFonts w:ascii="Arial" w:hAnsi="Arial" w:cs="Arial"/>
                <w:lang w:val="en-US"/>
              </w:rPr>
            </w:pPr>
          </w:p>
        </w:tc>
      </w:tr>
      <w:tr w:rsidR="00345354" w:rsidRPr="00345354" w14:paraId="4A269034" w14:textId="77777777" w:rsidTr="0015496B">
        <w:trPr>
          <w:jc w:val="center"/>
        </w:trPr>
        <w:tc>
          <w:tcPr>
            <w:tcW w:w="4318" w:type="dxa"/>
          </w:tcPr>
          <w:p w14:paraId="12FC3A67" w14:textId="106B3894" w:rsidR="009D15A2" w:rsidRPr="00345354" w:rsidRDefault="00345354" w:rsidP="00345354">
            <w:pPr>
              <w:rPr>
                <w:rFonts w:ascii="Arial" w:hAnsi="Arial" w:cs="Arial"/>
                <w:lang w:val="en-US"/>
              </w:rPr>
            </w:pPr>
            <w:r>
              <w:rPr>
                <w:rFonts w:ascii="Arial" w:hAnsi="Arial" w:cs="Arial"/>
                <w:lang w:val="en-US"/>
              </w:rPr>
              <w:t>Profit for the period</w:t>
            </w:r>
          </w:p>
        </w:tc>
        <w:tc>
          <w:tcPr>
            <w:tcW w:w="1236" w:type="dxa"/>
          </w:tcPr>
          <w:p w14:paraId="71593125" w14:textId="77777777" w:rsidR="009D15A2" w:rsidRPr="00345354" w:rsidRDefault="009D15A2" w:rsidP="004D4950">
            <w:pPr>
              <w:jc w:val="both"/>
              <w:rPr>
                <w:rFonts w:ascii="Arial" w:hAnsi="Arial" w:cs="Arial"/>
                <w:lang w:val="en-US"/>
              </w:rPr>
            </w:pPr>
          </w:p>
        </w:tc>
        <w:tc>
          <w:tcPr>
            <w:tcW w:w="1140" w:type="dxa"/>
          </w:tcPr>
          <w:p w14:paraId="05BF4D55" w14:textId="77777777" w:rsidR="009D15A2" w:rsidRPr="00345354" w:rsidRDefault="009D15A2" w:rsidP="004D4950">
            <w:pPr>
              <w:jc w:val="both"/>
              <w:rPr>
                <w:rFonts w:ascii="Arial" w:hAnsi="Arial" w:cs="Arial"/>
                <w:lang w:val="en-US"/>
              </w:rPr>
            </w:pPr>
          </w:p>
        </w:tc>
        <w:tc>
          <w:tcPr>
            <w:tcW w:w="1177" w:type="dxa"/>
          </w:tcPr>
          <w:p w14:paraId="17067725" w14:textId="77777777" w:rsidR="009D15A2" w:rsidRPr="00345354" w:rsidRDefault="009D15A2" w:rsidP="004D4950">
            <w:pPr>
              <w:jc w:val="both"/>
              <w:rPr>
                <w:rFonts w:ascii="Arial" w:hAnsi="Arial" w:cs="Arial"/>
                <w:lang w:val="en-US"/>
              </w:rPr>
            </w:pPr>
          </w:p>
        </w:tc>
        <w:tc>
          <w:tcPr>
            <w:tcW w:w="1359" w:type="dxa"/>
          </w:tcPr>
          <w:p w14:paraId="6E1581EF" w14:textId="77777777" w:rsidR="009D15A2" w:rsidRPr="00345354" w:rsidRDefault="009D15A2" w:rsidP="004D4950">
            <w:pPr>
              <w:jc w:val="both"/>
              <w:rPr>
                <w:rFonts w:ascii="Arial" w:hAnsi="Arial" w:cs="Arial"/>
                <w:lang w:val="en-US"/>
              </w:rPr>
            </w:pPr>
          </w:p>
        </w:tc>
      </w:tr>
    </w:tbl>
    <w:p w14:paraId="447707C3" w14:textId="77777777" w:rsidR="00C15BEB" w:rsidRPr="00345354" w:rsidRDefault="00C15BEB" w:rsidP="004D4950">
      <w:pPr>
        <w:spacing w:after="0" w:line="240" w:lineRule="auto"/>
        <w:ind w:left="1416"/>
        <w:jc w:val="both"/>
        <w:rPr>
          <w:rFonts w:ascii="Arial" w:hAnsi="Arial" w:cs="Arial"/>
          <w:lang w:val="en-US"/>
        </w:rPr>
      </w:pPr>
    </w:p>
    <w:p w14:paraId="77174616" w14:textId="5B770529" w:rsidR="00345354" w:rsidRPr="00345354" w:rsidRDefault="00153E9E" w:rsidP="00153E9E">
      <w:pPr>
        <w:spacing w:after="0" w:line="240" w:lineRule="auto"/>
        <w:ind w:left="1134" w:hanging="567"/>
        <w:jc w:val="both"/>
        <w:rPr>
          <w:rFonts w:ascii="Arial" w:hAnsi="Arial" w:cs="Arial"/>
          <w:b/>
          <w:lang w:val="en-US"/>
        </w:rPr>
      </w:pPr>
      <w:r w:rsidRPr="00345354">
        <w:rPr>
          <w:rFonts w:ascii="Arial" w:hAnsi="Arial" w:cs="Arial"/>
          <w:b/>
          <w:lang w:val="en-US"/>
        </w:rPr>
        <w:t>2.7.</w:t>
      </w:r>
      <w:r w:rsidR="00345354" w:rsidRPr="00345354">
        <w:rPr>
          <w:rFonts w:ascii="Arial" w:hAnsi="Arial" w:cs="Arial"/>
          <w:b/>
          <w:lang w:val="en-US"/>
        </w:rPr>
        <w:tab/>
        <w:t>Indicators for a new submission of the future capital needs</w:t>
      </w:r>
    </w:p>
    <w:p w14:paraId="64873542" w14:textId="77777777" w:rsidR="003422CE" w:rsidRDefault="003422CE" w:rsidP="00153E9E">
      <w:pPr>
        <w:spacing w:after="0" w:line="240" w:lineRule="auto"/>
        <w:ind w:left="1134"/>
        <w:jc w:val="both"/>
        <w:rPr>
          <w:rFonts w:ascii="Arial" w:hAnsi="Arial" w:cs="Arial"/>
          <w:lang w:val="en-US"/>
        </w:rPr>
      </w:pPr>
    </w:p>
    <w:p w14:paraId="000DEAC9" w14:textId="2F64EB97" w:rsidR="00345354" w:rsidRPr="009B1DA8" w:rsidRDefault="00345354" w:rsidP="00153E9E">
      <w:pPr>
        <w:spacing w:after="0" w:line="240" w:lineRule="auto"/>
        <w:ind w:left="1134"/>
        <w:jc w:val="both"/>
        <w:rPr>
          <w:rFonts w:ascii="Arial" w:hAnsi="Arial" w:cs="Arial"/>
          <w:lang w:val="en-US"/>
        </w:rPr>
      </w:pPr>
      <w:r w:rsidRPr="009B1DA8">
        <w:rPr>
          <w:rFonts w:ascii="Arial" w:hAnsi="Arial" w:cs="Arial"/>
          <w:lang w:val="en-US"/>
        </w:rPr>
        <w:t>Banks must include in this section the situations and/or indicators (total and/or percentage) of the deviations they have considered, as</w:t>
      </w:r>
      <w:r w:rsidR="009B1DA8">
        <w:rPr>
          <w:rFonts w:ascii="Arial" w:hAnsi="Arial" w:cs="Arial"/>
          <w:lang w:val="en-US"/>
        </w:rPr>
        <w:t xml:space="preserve"> part of their internal policy</w:t>
      </w:r>
      <w:r w:rsidR="00D51FDA">
        <w:rPr>
          <w:rFonts w:ascii="Arial" w:hAnsi="Arial" w:cs="Arial"/>
          <w:lang w:val="en-US"/>
        </w:rPr>
        <w:t>,</w:t>
      </w:r>
      <w:r w:rsidR="009B1DA8">
        <w:rPr>
          <w:rFonts w:ascii="Arial" w:hAnsi="Arial" w:cs="Arial"/>
          <w:lang w:val="en-US"/>
        </w:rPr>
        <w:t xml:space="preserve"> that have to be met </w:t>
      </w:r>
      <w:r w:rsidR="00D51FDA">
        <w:rPr>
          <w:rFonts w:ascii="Arial" w:hAnsi="Arial" w:cs="Arial"/>
          <w:lang w:val="en-US"/>
        </w:rPr>
        <w:t>in order to change or modify the R</w:t>
      </w:r>
      <w:r w:rsidR="009B1DA8">
        <w:rPr>
          <w:rFonts w:ascii="Arial" w:hAnsi="Arial" w:cs="Arial"/>
          <w:lang w:val="en-US"/>
        </w:rPr>
        <w:t xml:space="preserve">eport previously submitted to the Superintendency. </w:t>
      </w:r>
    </w:p>
    <w:p w14:paraId="164A1129" w14:textId="77777777" w:rsidR="00153E9E" w:rsidRPr="00914F59" w:rsidRDefault="00153E9E" w:rsidP="00780C73">
      <w:pPr>
        <w:spacing w:after="0" w:line="240" w:lineRule="auto"/>
        <w:ind w:left="1134" w:hanging="567"/>
        <w:jc w:val="both"/>
        <w:rPr>
          <w:rFonts w:ascii="Arial" w:hAnsi="Arial" w:cs="Arial"/>
          <w:b/>
          <w:lang w:val="en-US"/>
        </w:rPr>
      </w:pPr>
    </w:p>
    <w:p w14:paraId="25719AC2" w14:textId="200BA0D6" w:rsidR="00522C04" w:rsidRPr="00345354" w:rsidRDefault="00153E9E" w:rsidP="00780C73">
      <w:pPr>
        <w:spacing w:after="0" w:line="240" w:lineRule="auto"/>
        <w:ind w:left="1134" w:hanging="567"/>
        <w:jc w:val="both"/>
        <w:rPr>
          <w:rFonts w:ascii="Arial" w:hAnsi="Arial" w:cs="Arial"/>
          <w:b/>
          <w:lang w:val="en-US"/>
        </w:rPr>
      </w:pPr>
      <w:r w:rsidRPr="00345354">
        <w:rPr>
          <w:rFonts w:ascii="Arial" w:hAnsi="Arial" w:cs="Arial"/>
          <w:b/>
          <w:lang w:val="en-US"/>
        </w:rPr>
        <w:t>2.8</w:t>
      </w:r>
      <w:r w:rsidR="00522C04" w:rsidRPr="00345354">
        <w:rPr>
          <w:rFonts w:ascii="Arial" w:hAnsi="Arial" w:cs="Arial"/>
          <w:b/>
          <w:lang w:val="en-US"/>
        </w:rPr>
        <w:t>.</w:t>
      </w:r>
      <w:r w:rsidR="00F4465B" w:rsidRPr="00345354">
        <w:rPr>
          <w:rFonts w:ascii="Arial" w:hAnsi="Arial" w:cs="Arial"/>
          <w:b/>
          <w:lang w:val="en-US"/>
        </w:rPr>
        <w:t xml:space="preserve">  </w:t>
      </w:r>
      <w:r w:rsidR="009B1DA8">
        <w:rPr>
          <w:rFonts w:ascii="Arial" w:hAnsi="Arial" w:cs="Arial"/>
          <w:b/>
          <w:lang w:val="en-US"/>
        </w:rPr>
        <w:t xml:space="preserve"> </w:t>
      </w:r>
      <w:r w:rsidR="00D51FDA">
        <w:rPr>
          <w:rFonts w:ascii="Arial" w:hAnsi="Arial" w:cs="Arial"/>
          <w:b/>
          <w:lang w:val="en-US"/>
        </w:rPr>
        <w:t>Annex</w:t>
      </w:r>
      <w:r w:rsidR="009B1DA8">
        <w:rPr>
          <w:rFonts w:ascii="Arial" w:hAnsi="Arial" w:cs="Arial"/>
          <w:b/>
          <w:lang w:val="en-US"/>
        </w:rPr>
        <w:t>es</w:t>
      </w:r>
    </w:p>
    <w:p w14:paraId="3213227C" w14:textId="77777777" w:rsidR="003422CE" w:rsidRDefault="003422CE" w:rsidP="009B1DA8">
      <w:pPr>
        <w:spacing w:after="0" w:line="240" w:lineRule="auto"/>
        <w:ind w:left="1134"/>
        <w:jc w:val="both"/>
        <w:rPr>
          <w:rFonts w:ascii="Arial" w:hAnsi="Arial" w:cs="Arial"/>
          <w:lang w:val="en-US"/>
        </w:rPr>
      </w:pPr>
    </w:p>
    <w:p w14:paraId="5B8AAEC1" w14:textId="14CC2A4E" w:rsidR="00937F8C" w:rsidRPr="00345354" w:rsidRDefault="00D51FDA" w:rsidP="009B1DA8">
      <w:pPr>
        <w:spacing w:after="0" w:line="240" w:lineRule="auto"/>
        <w:ind w:left="1134"/>
        <w:jc w:val="both"/>
        <w:rPr>
          <w:rFonts w:ascii="Arial" w:hAnsi="Arial" w:cs="Arial"/>
          <w:lang w:val="en-US"/>
        </w:rPr>
      </w:pPr>
      <w:r>
        <w:rPr>
          <w:rFonts w:ascii="Arial" w:hAnsi="Arial" w:cs="Arial"/>
          <w:lang w:val="en-US"/>
        </w:rPr>
        <w:t>Annex</w:t>
      </w:r>
      <w:r w:rsidR="009B1DA8">
        <w:rPr>
          <w:rFonts w:ascii="Arial" w:hAnsi="Arial" w:cs="Arial"/>
          <w:lang w:val="en-US"/>
        </w:rPr>
        <w:t>es 1 and 2 attached hereto are part of the Report on Future Capital Needs (they do not replace the report). The attachments are aimed at supporting banks in the</w:t>
      </w:r>
      <w:r>
        <w:rPr>
          <w:rFonts w:ascii="Arial" w:hAnsi="Arial" w:cs="Arial"/>
          <w:lang w:val="en-US"/>
        </w:rPr>
        <w:t>ir</w:t>
      </w:r>
      <w:r w:rsidR="009B1DA8">
        <w:rPr>
          <w:rFonts w:ascii="Arial" w:hAnsi="Arial" w:cs="Arial"/>
          <w:lang w:val="en-US"/>
        </w:rPr>
        <w:t xml:space="preserve"> evaluation process. The data included in said </w:t>
      </w:r>
      <w:r>
        <w:rPr>
          <w:rFonts w:ascii="Arial" w:hAnsi="Arial" w:cs="Arial"/>
          <w:lang w:val="en-US"/>
        </w:rPr>
        <w:t>annex</w:t>
      </w:r>
      <w:r w:rsidR="009B1DA8">
        <w:rPr>
          <w:rFonts w:ascii="Arial" w:hAnsi="Arial" w:cs="Arial"/>
          <w:lang w:val="en-US"/>
        </w:rPr>
        <w:t xml:space="preserve">es must be consistent with the data and methodologies indicated in the contents of the report. The first </w:t>
      </w:r>
      <w:r>
        <w:rPr>
          <w:rFonts w:ascii="Arial" w:hAnsi="Arial" w:cs="Arial"/>
          <w:lang w:val="en-US"/>
        </w:rPr>
        <w:t>annex</w:t>
      </w:r>
      <w:r w:rsidR="009B1DA8">
        <w:rPr>
          <w:rFonts w:ascii="Arial" w:hAnsi="Arial" w:cs="Arial"/>
          <w:lang w:val="en-US"/>
        </w:rPr>
        <w:t xml:space="preserve"> will include the information considering a base scenario while the second </w:t>
      </w:r>
      <w:r>
        <w:rPr>
          <w:rFonts w:ascii="Arial" w:hAnsi="Arial" w:cs="Arial"/>
          <w:lang w:val="en-US"/>
        </w:rPr>
        <w:t>annex</w:t>
      </w:r>
      <w:r w:rsidR="009B1DA8">
        <w:rPr>
          <w:rFonts w:ascii="Arial" w:hAnsi="Arial" w:cs="Arial"/>
          <w:lang w:val="en-US"/>
        </w:rPr>
        <w:t xml:space="preserve"> will include the information on a stress scenario.</w:t>
      </w:r>
    </w:p>
    <w:sectPr w:rsidR="00937F8C" w:rsidRPr="0034535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498C4" w14:textId="77777777" w:rsidR="00F97A4D" w:rsidRDefault="00F97A4D" w:rsidP="00780C73">
      <w:pPr>
        <w:spacing w:after="0" w:line="240" w:lineRule="auto"/>
      </w:pPr>
      <w:r>
        <w:separator/>
      </w:r>
    </w:p>
  </w:endnote>
  <w:endnote w:type="continuationSeparator" w:id="0">
    <w:p w14:paraId="1E1D6AE1" w14:textId="77777777" w:rsidR="00F97A4D" w:rsidRDefault="00F97A4D" w:rsidP="0078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738184"/>
      <w:docPartObj>
        <w:docPartGallery w:val="Page Numbers (Bottom of Page)"/>
        <w:docPartUnique/>
      </w:docPartObj>
    </w:sdtPr>
    <w:sdtEndPr/>
    <w:sdtContent>
      <w:tbl>
        <w:tblPr>
          <w:tblW w:w="5000" w:type="pct"/>
          <w:shd w:val="clear" w:color="auto" w:fill="4F81BD" w:themeFill="accent1"/>
          <w:tblCellMar>
            <w:left w:w="115" w:type="dxa"/>
            <w:right w:w="115" w:type="dxa"/>
          </w:tblCellMar>
          <w:tblLook w:val="04A0" w:firstRow="1" w:lastRow="0" w:firstColumn="1" w:lastColumn="0" w:noHBand="0" w:noVBand="1"/>
        </w:tblPr>
        <w:tblGrid>
          <w:gridCol w:w="2946"/>
          <w:gridCol w:w="2947"/>
          <w:gridCol w:w="2945"/>
        </w:tblGrid>
        <w:tr w:rsidR="00D966E6" w:rsidRPr="00992278" w14:paraId="1DBEDE59" w14:textId="77777777" w:rsidTr="007F0C50">
          <w:tc>
            <w:tcPr>
              <w:tcW w:w="1667" w:type="pct"/>
              <w:shd w:val="clear" w:color="auto" w:fill="4F81BD" w:themeFill="accent1"/>
              <w:vAlign w:val="center"/>
            </w:tcPr>
            <w:p w14:paraId="4B5BB530" w14:textId="6803FA5F" w:rsidR="00D966E6" w:rsidRPr="00992278" w:rsidRDefault="00D966E6" w:rsidP="00D966E6">
              <w:pPr>
                <w:pStyle w:val="Piedepgina"/>
                <w:spacing w:before="80" w:after="80"/>
                <w:jc w:val="both"/>
                <w:rPr>
                  <w:rFonts w:cstheme="minorHAnsi"/>
                  <w:caps/>
                  <w:color w:val="FFFFFF" w:themeColor="background1"/>
                  <w:sz w:val="18"/>
                  <w:szCs w:val="18"/>
                </w:rPr>
              </w:pPr>
              <w:r w:rsidRPr="00992278">
                <w:rPr>
                  <w:rFonts w:cstheme="minorHAnsi"/>
                  <w:caps/>
                  <w:color w:val="FFFFFF" w:themeColor="background1"/>
                  <w:sz w:val="18"/>
                  <w:szCs w:val="18"/>
                  <w:lang w:val="es-PA"/>
                </w:rPr>
                <w:t>s. lara</w:t>
              </w:r>
            </w:p>
          </w:tc>
          <w:tc>
            <w:tcPr>
              <w:tcW w:w="1667" w:type="pct"/>
              <w:shd w:val="clear" w:color="auto" w:fill="4F81BD" w:themeFill="accent1"/>
            </w:tcPr>
            <w:p w14:paraId="1842D9B2" w14:textId="63532D5F" w:rsidR="00D966E6" w:rsidRPr="00992278" w:rsidRDefault="00D966E6" w:rsidP="00D966E6">
              <w:pPr>
                <w:pStyle w:val="Piedepgina"/>
                <w:spacing w:before="80" w:after="80"/>
                <w:jc w:val="center"/>
                <w:rPr>
                  <w:rFonts w:cstheme="minorHAnsi"/>
                  <w:caps/>
                  <w:color w:val="FFFFFF" w:themeColor="background1"/>
                  <w:sz w:val="18"/>
                  <w:szCs w:val="18"/>
                </w:rPr>
              </w:pPr>
              <w:r>
                <w:rPr>
                  <w:rFonts w:cstheme="minorHAnsi"/>
                  <w:caps/>
                  <w:color w:val="FFFFFF" w:themeColor="background1"/>
                  <w:sz w:val="18"/>
                  <w:szCs w:val="18"/>
                </w:rPr>
                <w:t>sg-trad-2020</w:t>
              </w:r>
              <w:r w:rsidRPr="00992278">
                <w:rPr>
                  <w:rFonts w:cstheme="minorHAnsi"/>
                  <w:caps/>
                  <w:color w:val="FFFFFF" w:themeColor="background1"/>
                  <w:sz w:val="18"/>
                  <w:szCs w:val="18"/>
                </w:rPr>
                <w:t>00</w:t>
              </w:r>
              <w:r>
                <w:rPr>
                  <w:rFonts w:cstheme="minorHAnsi"/>
                  <w:caps/>
                  <w:color w:val="FFFFFF" w:themeColor="background1"/>
                  <w:sz w:val="18"/>
                  <w:szCs w:val="18"/>
                </w:rPr>
                <w:t>093</w:t>
              </w:r>
            </w:p>
          </w:tc>
          <w:tc>
            <w:tcPr>
              <w:tcW w:w="1666" w:type="pct"/>
              <w:shd w:val="clear" w:color="auto" w:fill="4F81BD" w:themeFill="accent1"/>
              <w:vAlign w:val="center"/>
            </w:tcPr>
            <w:p w14:paraId="57A63151" w14:textId="77777777" w:rsidR="00D966E6" w:rsidRPr="00992278" w:rsidRDefault="00D966E6" w:rsidP="00D966E6">
              <w:pPr>
                <w:pStyle w:val="Piedepgina"/>
                <w:spacing w:before="80" w:after="80"/>
                <w:jc w:val="right"/>
                <w:rPr>
                  <w:rFonts w:cstheme="minorHAnsi"/>
                  <w:caps/>
                  <w:color w:val="FFFFFF" w:themeColor="background1"/>
                  <w:sz w:val="18"/>
                  <w:szCs w:val="18"/>
                </w:rPr>
              </w:pPr>
              <w:r>
                <w:rPr>
                  <w:rFonts w:cstheme="minorHAnsi"/>
                  <w:caps/>
                  <w:color w:val="FFFFFF" w:themeColor="background1"/>
                  <w:sz w:val="18"/>
                  <w:szCs w:val="18"/>
                  <w:lang w:val="es-PA"/>
                </w:rPr>
                <w:t>MAR.-17</w:t>
              </w:r>
              <w:r w:rsidRPr="00992278">
                <w:rPr>
                  <w:rFonts w:cstheme="minorHAnsi"/>
                  <w:caps/>
                  <w:color w:val="FFFFFF" w:themeColor="background1"/>
                  <w:sz w:val="18"/>
                  <w:szCs w:val="18"/>
                  <w:lang w:val="es-PA"/>
                </w:rPr>
                <w:t>-</w:t>
              </w:r>
              <w:r>
                <w:rPr>
                  <w:rFonts w:cstheme="minorHAnsi"/>
                  <w:caps/>
                  <w:color w:val="FFFFFF" w:themeColor="background1"/>
                  <w:sz w:val="18"/>
                  <w:szCs w:val="18"/>
                  <w:lang w:val="es-PA"/>
                </w:rPr>
                <w:t>2020</w:t>
              </w:r>
            </w:p>
          </w:tc>
        </w:tr>
      </w:tbl>
      <w:p w14:paraId="4C529590" w14:textId="1B9B4209" w:rsidR="00780C73" w:rsidRDefault="00780C73">
        <w:pPr>
          <w:pStyle w:val="Piedepgina"/>
          <w:jc w:val="right"/>
        </w:pPr>
        <w:r>
          <w:fldChar w:fldCharType="begin"/>
        </w:r>
        <w:r>
          <w:instrText>PAGE   \* MERGEFORMAT</w:instrText>
        </w:r>
        <w:r>
          <w:fldChar w:fldCharType="separate"/>
        </w:r>
        <w:r w:rsidR="0054235D" w:rsidRPr="0054235D">
          <w:rPr>
            <w:noProof/>
            <w:lang w:val="es-ES"/>
          </w:rPr>
          <w:t>5</w:t>
        </w:r>
        <w:r>
          <w:fldChar w:fldCharType="end"/>
        </w:r>
      </w:p>
    </w:sdtContent>
  </w:sdt>
  <w:p w14:paraId="17408291" w14:textId="77777777" w:rsidR="00780C73" w:rsidRDefault="00780C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6E91" w14:textId="77777777" w:rsidR="00F97A4D" w:rsidRDefault="00F97A4D" w:rsidP="00780C73">
      <w:pPr>
        <w:spacing w:after="0" w:line="240" w:lineRule="auto"/>
      </w:pPr>
      <w:r>
        <w:separator/>
      </w:r>
    </w:p>
  </w:footnote>
  <w:footnote w:type="continuationSeparator" w:id="0">
    <w:p w14:paraId="3549DECD" w14:textId="77777777" w:rsidR="00F97A4D" w:rsidRDefault="00F97A4D" w:rsidP="00780C73">
      <w:pPr>
        <w:spacing w:after="0" w:line="240" w:lineRule="auto"/>
      </w:pPr>
      <w:r>
        <w:continuationSeparator/>
      </w:r>
    </w:p>
  </w:footnote>
  <w:footnote w:id="1">
    <w:p w14:paraId="6156DD4C" w14:textId="4DBB76FF" w:rsidR="005275DE" w:rsidRPr="0050695C" w:rsidRDefault="005275DE" w:rsidP="005275DE">
      <w:pPr>
        <w:pStyle w:val="Textonotapie"/>
        <w:jc w:val="both"/>
        <w:rPr>
          <w:rFonts w:ascii="Arial" w:hAnsi="Arial" w:cs="Arial"/>
          <w:lang w:val="en-US"/>
        </w:rPr>
      </w:pPr>
      <w:r w:rsidRPr="00433A7A">
        <w:rPr>
          <w:rStyle w:val="Refdenotaalpie"/>
          <w:rFonts w:ascii="Arial" w:hAnsi="Arial" w:cs="Arial"/>
        </w:rPr>
        <w:footnoteRef/>
      </w:r>
      <w:r w:rsidRPr="0050695C">
        <w:rPr>
          <w:rFonts w:ascii="Arial" w:hAnsi="Arial" w:cs="Arial"/>
          <w:lang w:val="en-US"/>
        </w:rPr>
        <w:t xml:space="preserve"> </w:t>
      </w:r>
      <w:r w:rsidR="0050695C" w:rsidRPr="0050695C">
        <w:rPr>
          <w:rFonts w:ascii="Arial" w:hAnsi="Arial" w:cs="Arial"/>
          <w:lang w:val="en-US"/>
        </w:rPr>
        <w:t>Base scenario:</w:t>
      </w:r>
      <w:r w:rsidR="002F4B47">
        <w:rPr>
          <w:rFonts w:ascii="Arial" w:hAnsi="Arial" w:cs="Arial"/>
          <w:lang w:val="en-US"/>
        </w:rPr>
        <w:t xml:space="preserve"> it</w:t>
      </w:r>
      <w:r w:rsidR="0050695C" w:rsidRPr="0050695C">
        <w:rPr>
          <w:rFonts w:ascii="Arial" w:hAnsi="Arial" w:cs="Arial"/>
          <w:lang w:val="en-US"/>
        </w:rPr>
        <w:t xml:space="preserve"> will correspo</w:t>
      </w:r>
      <w:r w:rsidR="002F4B47">
        <w:rPr>
          <w:rFonts w:ascii="Arial" w:hAnsi="Arial" w:cs="Arial"/>
          <w:lang w:val="en-US"/>
        </w:rPr>
        <w:t>nd to the most probable result o</w:t>
      </w:r>
      <w:r w:rsidR="0050695C" w:rsidRPr="0050695C">
        <w:rPr>
          <w:rFonts w:ascii="Arial" w:hAnsi="Arial" w:cs="Arial"/>
          <w:lang w:val="en-US"/>
        </w:rPr>
        <w:t>n which</w:t>
      </w:r>
      <w:r w:rsidR="002F4B47">
        <w:rPr>
          <w:rFonts w:ascii="Arial" w:hAnsi="Arial" w:cs="Arial"/>
          <w:lang w:val="en-US"/>
        </w:rPr>
        <w:t xml:space="preserve"> the</w:t>
      </w:r>
      <w:r w:rsidR="0050695C" w:rsidRPr="0050695C">
        <w:rPr>
          <w:rFonts w:ascii="Arial" w:hAnsi="Arial" w:cs="Arial"/>
          <w:lang w:val="en-US"/>
        </w:rPr>
        <w:t xml:space="preserve"> banks have </w:t>
      </w:r>
      <w:r w:rsidR="008B68FC" w:rsidRPr="0050695C">
        <w:rPr>
          <w:rFonts w:ascii="Arial" w:hAnsi="Arial" w:cs="Arial"/>
          <w:lang w:val="en-US"/>
        </w:rPr>
        <w:t>based</w:t>
      </w:r>
      <w:r w:rsidR="0050695C" w:rsidRPr="0050695C">
        <w:rPr>
          <w:rFonts w:ascii="Arial" w:hAnsi="Arial" w:cs="Arial"/>
          <w:lang w:val="en-US"/>
        </w:rPr>
        <w:t xml:space="preserve"> their behavior projections under </w:t>
      </w:r>
      <w:r w:rsidR="002F4B47">
        <w:rPr>
          <w:rFonts w:ascii="Arial" w:hAnsi="Arial" w:cs="Arial"/>
          <w:lang w:val="en-US"/>
        </w:rPr>
        <w:t xml:space="preserve">a </w:t>
      </w:r>
      <w:r w:rsidR="0050695C" w:rsidRPr="0050695C">
        <w:rPr>
          <w:rFonts w:ascii="Arial" w:hAnsi="Arial" w:cs="Arial"/>
          <w:lang w:val="en-US"/>
        </w:rPr>
        <w:t>“normal” or expected operation</w:t>
      </w:r>
      <w:r w:rsidR="002F4B47">
        <w:rPr>
          <w:rFonts w:ascii="Arial" w:hAnsi="Arial" w:cs="Arial"/>
          <w:lang w:val="en-US"/>
        </w:rPr>
        <w:t>,</w:t>
      </w:r>
      <w:r w:rsidR="0050695C" w:rsidRPr="0050695C">
        <w:rPr>
          <w:rFonts w:ascii="Arial" w:hAnsi="Arial" w:cs="Arial"/>
          <w:lang w:val="en-US"/>
        </w:rPr>
        <w:t xml:space="preserve"> and </w:t>
      </w:r>
      <w:r w:rsidR="002F4B47">
        <w:rPr>
          <w:rFonts w:ascii="Arial" w:hAnsi="Arial" w:cs="Arial"/>
          <w:lang w:val="en-US"/>
        </w:rPr>
        <w:t xml:space="preserve">which </w:t>
      </w:r>
      <w:r w:rsidR="0050695C" w:rsidRPr="0050695C">
        <w:rPr>
          <w:rFonts w:ascii="Arial" w:hAnsi="Arial" w:cs="Arial"/>
          <w:lang w:val="en-US"/>
        </w:rPr>
        <w:t>was used for its preparation</w:t>
      </w:r>
      <w:r w:rsidR="00F529AD" w:rsidRPr="0050695C">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6336" w14:textId="4900B465" w:rsidR="00D966E6" w:rsidRDefault="00D966E6">
    <w:pPr>
      <w:pStyle w:val="Encabezado"/>
    </w:pPr>
    <w:r>
      <w:rPr>
        <w:noProof/>
        <w:lang w:val="es-PA" w:eastAsia="es-PA"/>
      </w:rPr>
      <mc:AlternateContent>
        <mc:Choice Requires="wps">
          <w:drawing>
            <wp:anchor distT="0" distB="0" distL="118745" distR="118745" simplePos="0" relativeHeight="251659264" behindDoc="1" locked="0" layoutInCell="1" allowOverlap="0" wp14:anchorId="770D54DF" wp14:editId="557DD6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FE84E" w14:textId="5B3CDD40" w:rsidR="00D966E6" w:rsidRPr="00296EC7" w:rsidRDefault="00F97A4D" w:rsidP="00D966E6">
                          <w:pPr>
                            <w:pStyle w:val="Encabezado"/>
                            <w:jc w:val="center"/>
                            <w:rPr>
                              <w:rFonts w:cstheme="minorHAnsi"/>
                              <w:caps/>
                              <w:color w:val="FFFFFF" w:themeColor="background1"/>
                              <w:lang w:val="en-US"/>
                            </w:rPr>
                          </w:pPr>
                          <w:sdt>
                            <w:sdtPr>
                              <w:rPr>
                                <w:rFonts w:cstheme="minorHAnsi"/>
                                <w:caps/>
                                <w:color w:val="FFFFFF" w:themeColor="background1"/>
                                <w:lang w:val="en-US"/>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D966E6">
                                <w:rPr>
                                  <w:rFonts w:cstheme="minorHAnsi"/>
                                  <w:caps/>
                                  <w:color w:val="FFFFFF" w:themeColor="background1"/>
                                  <w:lang w:val="en-US"/>
                                </w:rPr>
                                <w:t xml:space="preserve">     </w:t>
                              </w:r>
                            </w:sdtContent>
                          </w:sdt>
                          <w:r w:rsidR="00D966E6">
                            <w:rPr>
                              <w:rFonts w:cstheme="minorHAnsi"/>
                              <w:caps/>
                              <w:color w:val="FFFFFF" w:themeColor="background1"/>
                              <w:lang w:val="en-US"/>
                            </w:rPr>
                            <w:t>T R A N S L A T I O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0D54DF"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DRCp6imQIAAJkFAAAOAAAAAAAAAAAAAAAAAC4CAABkcnMvZTJvRG9j&#10;LnhtbFBLAQItABQABgAIAAAAIQCmR3nu3AAAAAQBAAAPAAAAAAAAAAAAAAAAAPMEAABkcnMvZG93&#10;bnJldi54bWxQSwUGAAAAAAQABADzAAAA/AUAAAAA&#10;" o:allowoverlap="f" fillcolor="#4f81bd [3204]" stroked="f" strokeweight="2pt">
              <v:textbox style="mso-fit-shape-to-text:t">
                <w:txbxContent>
                  <w:p w14:paraId="782FE84E" w14:textId="5B3CDD40" w:rsidR="00D966E6" w:rsidRPr="00296EC7" w:rsidRDefault="000F6CDC" w:rsidP="00D966E6">
                    <w:pPr>
                      <w:pStyle w:val="Encabezado"/>
                      <w:jc w:val="center"/>
                      <w:rPr>
                        <w:rFonts w:cstheme="minorHAnsi"/>
                        <w:caps/>
                        <w:color w:val="FFFFFF" w:themeColor="background1"/>
                        <w:lang w:val="en-US"/>
                      </w:rPr>
                    </w:pPr>
                    <w:sdt>
                      <w:sdtPr>
                        <w:rPr>
                          <w:rFonts w:cstheme="minorHAnsi"/>
                          <w:caps/>
                          <w:color w:val="FFFFFF" w:themeColor="background1"/>
                          <w:lang w:val="en-US"/>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D966E6">
                          <w:rPr>
                            <w:rFonts w:cstheme="minorHAnsi"/>
                            <w:caps/>
                            <w:color w:val="FFFFFF" w:themeColor="background1"/>
                            <w:lang w:val="en-US"/>
                          </w:rPr>
                          <w:t xml:space="preserve">     </w:t>
                        </w:r>
                      </w:sdtContent>
                    </w:sdt>
                    <w:r w:rsidR="00D966E6">
                      <w:rPr>
                        <w:rFonts w:cstheme="minorHAnsi"/>
                        <w:caps/>
                        <w:color w:val="FFFFFF" w:themeColor="background1"/>
                        <w:lang w:val="en-US"/>
                      </w:rPr>
                      <w:t>T R A N S L A T I O 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95083"/>
    <w:multiLevelType w:val="hybridMultilevel"/>
    <w:tmpl w:val="6A98C5B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CBC49CA"/>
    <w:multiLevelType w:val="hybridMultilevel"/>
    <w:tmpl w:val="F27413B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DEF3899"/>
    <w:multiLevelType w:val="hybridMultilevel"/>
    <w:tmpl w:val="1BDC513C"/>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E1"/>
    <w:rsid w:val="00017ED2"/>
    <w:rsid w:val="00024082"/>
    <w:rsid w:val="0003107A"/>
    <w:rsid w:val="00031096"/>
    <w:rsid w:val="0004495E"/>
    <w:rsid w:val="00050C3C"/>
    <w:rsid w:val="000A51DD"/>
    <w:rsid w:val="000B0AA7"/>
    <w:rsid w:val="000C29F2"/>
    <w:rsid w:val="000F6CDC"/>
    <w:rsid w:val="001125C5"/>
    <w:rsid w:val="00122EDE"/>
    <w:rsid w:val="00133BE8"/>
    <w:rsid w:val="001350E9"/>
    <w:rsid w:val="001464A7"/>
    <w:rsid w:val="00151495"/>
    <w:rsid w:val="00153E9E"/>
    <w:rsid w:val="0015496B"/>
    <w:rsid w:val="00171EE0"/>
    <w:rsid w:val="00194259"/>
    <w:rsid w:val="001B1636"/>
    <w:rsid w:val="001B4EC2"/>
    <w:rsid w:val="001C16A1"/>
    <w:rsid w:val="001F1B99"/>
    <w:rsid w:val="001F4290"/>
    <w:rsid w:val="0021173D"/>
    <w:rsid w:val="00213FB4"/>
    <w:rsid w:val="002239A8"/>
    <w:rsid w:val="00227BCA"/>
    <w:rsid w:val="00252D6C"/>
    <w:rsid w:val="0026384A"/>
    <w:rsid w:val="002770F6"/>
    <w:rsid w:val="00280058"/>
    <w:rsid w:val="00296D05"/>
    <w:rsid w:val="002A583C"/>
    <w:rsid w:val="002B651F"/>
    <w:rsid w:val="002C1272"/>
    <w:rsid w:val="002E0A36"/>
    <w:rsid w:val="002E11DB"/>
    <w:rsid w:val="002F02F4"/>
    <w:rsid w:val="002F4B47"/>
    <w:rsid w:val="00304B86"/>
    <w:rsid w:val="00311AAC"/>
    <w:rsid w:val="003226E8"/>
    <w:rsid w:val="0032658D"/>
    <w:rsid w:val="00332717"/>
    <w:rsid w:val="003416C8"/>
    <w:rsid w:val="003422CE"/>
    <w:rsid w:val="00345354"/>
    <w:rsid w:val="00346237"/>
    <w:rsid w:val="00365469"/>
    <w:rsid w:val="00372E82"/>
    <w:rsid w:val="003846A5"/>
    <w:rsid w:val="003C424C"/>
    <w:rsid w:val="003C75C0"/>
    <w:rsid w:val="003D6173"/>
    <w:rsid w:val="003E30A3"/>
    <w:rsid w:val="003F4C03"/>
    <w:rsid w:val="00403378"/>
    <w:rsid w:val="00415021"/>
    <w:rsid w:val="004302C5"/>
    <w:rsid w:val="00433A7A"/>
    <w:rsid w:val="00437F52"/>
    <w:rsid w:val="00446C74"/>
    <w:rsid w:val="00471C91"/>
    <w:rsid w:val="004747A3"/>
    <w:rsid w:val="00497686"/>
    <w:rsid w:val="004A177A"/>
    <w:rsid w:val="004D4950"/>
    <w:rsid w:val="004D5D1E"/>
    <w:rsid w:val="004F3A74"/>
    <w:rsid w:val="00504F69"/>
    <w:rsid w:val="0050695C"/>
    <w:rsid w:val="0051111B"/>
    <w:rsid w:val="00522C04"/>
    <w:rsid w:val="005275DE"/>
    <w:rsid w:val="0054235D"/>
    <w:rsid w:val="00547C8B"/>
    <w:rsid w:val="0055715D"/>
    <w:rsid w:val="00570A1E"/>
    <w:rsid w:val="005814B9"/>
    <w:rsid w:val="0059559E"/>
    <w:rsid w:val="005B0452"/>
    <w:rsid w:val="005B1D2E"/>
    <w:rsid w:val="005B2082"/>
    <w:rsid w:val="005B40A6"/>
    <w:rsid w:val="005B797F"/>
    <w:rsid w:val="005F2C09"/>
    <w:rsid w:val="00606191"/>
    <w:rsid w:val="006074B5"/>
    <w:rsid w:val="00614832"/>
    <w:rsid w:val="006356A3"/>
    <w:rsid w:val="00640D86"/>
    <w:rsid w:val="00646010"/>
    <w:rsid w:val="0066046D"/>
    <w:rsid w:val="006A110E"/>
    <w:rsid w:val="006B1F58"/>
    <w:rsid w:val="006E757E"/>
    <w:rsid w:val="006E7629"/>
    <w:rsid w:val="006E7A44"/>
    <w:rsid w:val="00703D54"/>
    <w:rsid w:val="007272F0"/>
    <w:rsid w:val="00762D5E"/>
    <w:rsid w:val="00764116"/>
    <w:rsid w:val="0076436C"/>
    <w:rsid w:val="00765AC0"/>
    <w:rsid w:val="00777D95"/>
    <w:rsid w:val="00780C73"/>
    <w:rsid w:val="007E5C93"/>
    <w:rsid w:val="007F40A5"/>
    <w:rsid w:val="00823087"/>
    <w:rsid w:val="00826713"/>
    <w:rsid w:val="008315A5"/>
    <w:rsid w:val="00836237"/>
    <w:rsid w:val="00881EFE"/>
    <w:rsid w:val="00894558"/>
    <w:rsid w:val="008A3CA6"/>
    <w:rsid w:val="008B5A59"/>
    <w:rsid w:val="008B68FC"/>
    <w:rsid w:val="008D6CE1"/>
    <w:rsid w:val="008E599D"/>
    <w:rsid w:val="008F0AB6"/>
    <w:rsid w:val="008F4FAD"/>
    <w:rsid w:val="008F7318"/>
    <w:rsid w:val="00911757"/>
    <w:rsid w:val="00914F59"/>
    <w:rsid w:val="009325BE"/>
    <w:rsid w:val="00937F8C"/>
    <w:rsid w:val="00971224"/>
    <w:rsid w:val="0097767A"/>
    <w:rsid w:val="009A0419"/>
    <w:rsid w:val="009B1DA8"/>
    <w:rsid w:val="009B57BE"/>
    <w:rsid w:val="009C7223"/>
    <w:rsid w:val="009D0069"/>
    <w:rsid w:val="009D15A2"/>
    <w:rsid w:val="009D4D01"/>
    <w:rsid w:val="009E00E9"/>
    <w:rsid w:val="009E173A"/>
    <w:rsid w:val="009E1C5F"/>
    <w:rsid w:val="009E38FD"/>
    <w:rsid w:val="00A02169"/>
    <w:rsid w:val="00A143CF"/>
    <w:rsid w:val="00A17FF5"/>
    <w:rsid w:val="00A3538E"/>
    <w:rsid w:val="00A46F66"/>
    <w:rsid w:val="00A5117C"/>
    <w:rsid w:val="00A53229"/>
    <w:rsid w:val="00A6745A"/>
    <w:rsid w:val="00AA15BF"/>
    <w:rsid w:val="00AB322E"/>
    <w:rsid w:val="00AD4FB6"/>
    <w:rsid w:val="00AF4B53"/>
    <w:rsid w:val="00AF63C5"/>
    <w:rsid w:val="00B07665"/>
    <w:rsid w:val="00B26FFA"/>
    <w:rsid w:val="00B327BD"/>
    <w:rsid w:val="00B90F5C"/>
    <w:rsid w:val="00B97438"/>
    <w:rsid w:val="00BB1659"/>
    <w:rsid w:val="00BB668C"/>
    <w:rsid w:val="00BB6B48"/>
    <w:rsid w:val="00BE4806"/>
    <w:rsid w:val="00BE704B"/>
    <w:rsid w:val="00C07EF6"/>
    <w:rsid w:val="00C15BEB"/>
    <w:rsid w:val="00C30B08"/>
    <w:rsid w:val="00C4777F"/>
    <w:rsid w:val="00C860D2"/>
    <w:rsid w:val="00CB6F07"/>
    <w:rsid w:val="00CC12A9"/>
    <w:rsid w:val="00CF50D4"/>
    <w:rsid w:val="00D23F1D"/>
    <w:rsid w:val="00D27EFA"/>
    <w:rsid w:val="00D51FDA"/>
    <w:rsid w:val="00D912F9"/>
    <w:rsid w:val="00D966E6"/>
    <w:rsid w:val="00D97172"/>
    <w:rsid w:val="00D9737F"/>
    <w:rsid w:val="00DA2D7C"/>
    <w:rsid w:val="00DE0A9B"/>
    <w:rsid w:val="00E1212B"/>
    <w:rsid w:val="00E32D97"/>
    <w:rsid w:val="00E41279"/>
    <w:rsid w:val="00E55345"/>
    <w:rsid w:val="00E56389"/>
    <w:rsid w:val="00E61FBC"/>
    <w:rsid w:val="00E62302"/>
    <w:rsid w:val="00E73488"/>
    <w:rsid w:val="00E76760"/>
    <w:rsid w:val="00EA3887"/>
    <w:rsid w:val="00EB127E"/>
    <w:rsid w:val="00EB2428"/>
    <w:rsid w:val="00EE34B4"/>
    <w:rsid w:val="00F20EEB"/>
    <w:rsid w:val="00F24D76"/>
    <w:rsid w:val="00F2674F"/>
    <w:rsid w:val="00F43D83"/>
    <w:rsid w:val="00F4465B"/>
    <w:rsid w:val="00F529AD"/>
    <w:rsid w:val="00F857C9"/>
    <w:rsid w:val="00F94ED8"/>
    <w:rsid w:val="00F97A4D"/>
    <w:rsid w:val="00FB3CC9"/>
    <w:rsid w:val="00FC1BF4"/>
    <w:rsid w:val="00FD01C2"/>
    <w:rsid w:val="00FE4F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DAAD9"/>
  <w15:docId w15:val="{1A16612A-432B-4BA1-8C65-A8C80585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CE1"/>
    <w:pPr>
      <w:ind w:left="720"/>
      <w:contextualSpacing/>
    </w:pPr>
  </w:style>
  <w:style w:type="table" w:styleId="Tablaconcuadrcula">
    <w:name w:val="Table Grid"/>
    <w:basedOn w:val="Tablanormal"/>
    <w:uiPriority w:val="59"/>
    <w:unhideWhenUsed/>
    <w:rsid w:val="00B90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0C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0C73"/>
  </w:style>
  <w:style w:type="paragraph" w:styleId="Piedepgina">
    <w:name w:val="footer"/>
    <w:basedOn w:val="Normal"/>
    <w:link w:val="PiedepginaCar"/>
    <w:uiPriority w:val="99"/>
    <w:unhideWhenUsed/>
    <w:rsid w:val="00780C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0C73"/>
  </w:style>
  <w:style w:type="paragraph" w:styleId="Textonotapie">
    <w:name w:val="footnote text"/>
    <w:basedOn w:val="Normal"/>
    <w:link w:val="TextonotapieCar"/>
    <w:uiPriority w:val="99"/>
    <w:semiHidden/>
    <w:unhideWhenUsed/>
    <w:rsid w:val="005275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75DE"/>
    <w:rPr>
      <w:sz w:val="20"/>
      <w:szCs w:val="20"/>
    </w:rPr>
  </w:style>
  <w:style w:type="character" w:styleId="Refdenotaalpie">
    <w:name w:val="footnote reference"/>
    <w:basedOn w:val="Fuentedeprrafopredeter"/>
    <w:uiPriority w:val="99"/>
    <w:semiHidden/>
    <w:unhideWhenUsed/>
    <w:rsid w:val="00527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1700">
      <w:bodyDiv w:val="1"/>
      <w:marLeft w:val="0"/>
      <w:marRight w:val="0"/>
      <w:marTop w:val="0"/>
      <w:marBottom w:val="0"/>
      <w:divBdr>
        <w:top w:val="none" w:sz="0" w:space="0" w:color="auto"/>
        <w:left w:val="none" w:sz="0" w:space="0" w:color="auto"/>
        <w:bottom w:val="none" w:sz="0" w:space="0" w:color="auto"/>
        <w:right w:val="none" w:sz="0" w:space="0" w:color="auto"/>
      </w:divBdr>
    </w:div>
    <w:div w:id="62216547">
      <w:bodyDiv w:val="1"/>
      <w:marLeft w:val="0"/>
      <w:marRight w:val="0"/>
      <w:marTop w:val="0"/>
      <w:marBottom w:val="0"/>
      <w:divBdr>
        <w:top w:val="none" w:sz="0" w:space="0" w:color="auto"/>
        <w:left w:val="none" w:sz="0" w:space="0" w:color="auto"/>
        <w:bottom w:val="none" w:sz="0" w:space="0" w:color="auto"/>
        <w:right w:val="none" w:sz="0" w:space="0" w:color="auto"/>
      </w:divBdr>
    </w:div>
    <w:div w:id="174149345">
      <w:bodyDiv w:val="1"/>
      <w:marLeft w:val="0"/>
      <w:marRight w:val="0"/>
      <w:marTop w:val="0"/>
      <w:marBottom w:val="0"/>
      <w:divBdr>
        <w:top w:val="none" w:sz="0" w:space="0" w:color="auto"/>
        <w:left w:val="none" w:sz="0" w:space="0" w:color="auto"/>
        <w:bottom w:val="none" w:sz="0" w:space="0" w:color="auto"/>
        <w:right w:val="none" w:sz="0" w:space="0" w:color="auto"/>
      </w:divBdr>
    </w:div>
    <w:div w:id="226039097">
      <w:bodyDiv w:val="1"/>
      <w:marLeft w:val="0"/>
      <w:marRight w:val="0"/>
      <w:marTop w:val="0"/>
      <w:marBottom w:val="0"/>
      <w:divBdr>
        <w:top w:val="none" w:sz="0" w:space="0" w:color="auto"/>
        <w:left w:val="none" w:sz="0" w:space="0" w:color="auto"/>
        <w:bottom w:val="none" w:sz="0" w:space="0" w:color="auto"/>
        <w:right w:val="none" w:sz="0" w:space="0" w:color="auto"/>
      </w:divBdr>
    </w:div>
    <w:div w:id="338243142">
      <w:bodyDiv w:val="1"/>
      <w:marLeft w:val="0"/>
      <w:marRight w:val="0"/>
      <w:marTop w:val="0"/>
      <w:marBottom w:val="0"/>
      <w:divBdr>
        <w:top w:val="none" w:sz="0" w:space="0" w:color="auto"/>
        <w:left w:val="none" w:sz="0" w:space="0" w:color="auto"/>
        <w:bottom w:val="none" w:sz="0" w:space="0" w:color="auto"/>
        <w:right w:val="none" w:sz="0" w:space="0" w:color="auto"/>
      </w:divBdr>
    </w:div>
    <w:div w:id="397090970">
      <w:bodyDiv w:val="1"/>
      <w:marLeft w:val="0"/>
      <w:marRight w:val="0"/>
      <w:marTop w:val="0"/>
      <w:marBottom w:val="0"/>
      <w:divBdr>
        <w:top w:val="none" w:sz="0" w:space="0" w:color="auto"/>
        <w:left w:val="none" w:sz="0" w:space="0" w:color="auto"/>
        <w:bottom w:val="none" w:sz="0" w:space="0" w:color="auto"/>
        <w:right w:val="none" w:sz="0" w:space="0" w:color="auto"/>
      </w:divBdr>
    </w:div>
    <w:div w:id="438179567">
      <w:bodyDiv w:val="1"/>
      <w:marLeft w:val="0"/>
      <w:marRight w:val="0"/>
      <w:marTop w:val="0"/>
      <w:marBottom w:val="0"/>
      <w:divBdr>
        <w:top w:val="none" w:sz="0" w:space="0" w:color="auto"/>
        <w:left w:val="none" w:sz="0" w:space="0" w:color="auto"/>
        <w:bottom w:val="none" w:sz="0" w:space="0" w:color="auto"/>
        <w:right w:val="none" w:sz="0" w:space="0" w:color="auto"/>
      </w:divBdr>
    </w:div>
    <w:div w:id="512381792">
      <w:bodyDiv w:val="1"/>
      <w:marLeft w:val="0"/>
      <w:marRight w:val="0"/>
      <w:marTop w:val="0"/>
      <w:marBottom w:val="0"/>
      <w:divBdr>
        <w:top w:val="none" w:sz="0" w:space="0" w:color="auto"/>
        <w:left w:val="none" w:sz="0" w:space="0" w:color="auto"/>
        <w:bottom w:val="none" w:sz="0" w:space="0" w:color="auto"/>
        <w:right w:val="none" w:sz="0" w:space="0" w:color="auto"/>
      </w:divBdr>
    </w:div>
    <w:div w:id="607200349">
      <w:bodyDiv w:val="1"/>
      <w:marLeft w:val="0"/>
      <w:marRight w:val="0"/>
      <w:marTop w:val="0"/>
      <w:marBottom w:val="0"/>
      <w:divBdr>
        <w:top w:val="none" w:sz="0" w:space="0" w:color="auto"/>
        <w:left w:val="none" w:sz="0" w:space="0" w:color="auto"/>
        <w:bottom w:val="none" w:sz="0" w:space="0" w:color="auto"/>
        <w:right w:val="none" w:sz="0" w:space="0" w:color="auto"/>
      </w:divBdr>
    </w:div>
    <w:div w:id="643852991">
      <w:bodyDiv w:val="1"/>
      <w:marLeft w:val="0"/>
      <w:marRight w:val="0"/>
      <w:marTop w:val="0"/>
      <w:marBottom w:val="0"/>
      <w:divBdr>
        <w:top w:val="none" w:sz="0" w:space="0" w:color="auto"/>
        <w:left w:val="none" w:sz="0" w:space="0" w:color="auto"/>
        <w:bottom w:val="none" w:sz="0" w:space="0" w:color="auto"/>
        <w:right w:val="none" w:sz="0" w:space="0" w:color="auto"/>
      </w:divBdr>
    </w:div>
    <w:div w:id="859663473">
      <w:bodyDiv w:val="1"/>
      <w:marLeft w:val="0"/>
      <w:marRight w:val="0"/>
      <w:marTop w:val="0"/>
      <w:marBottom w:val="0"/>
      <w:divBdr>
        <w:top w:val="none" w:sz="0" w:space="0" w:color="auto"/>
        <w:left w:val="none" w:sz="0" w:space="0" w:color="auto"/>
        <w:bottom w:val="none" w:sz="0" w:space="0" w:color="auto"/>
        <w:right w:val="none" w:sz="0" w:space="0" w:color="auto"/>
      </w:divBdr>
    </w:div>
    <w:div w:id="929117908">
      <w:bodyDiv w:val="1"/>
      <w:marLeft w:val="0"/>
      <w:marRight w:val="0"/>
      <w:marTop w:val="0"/>
      <w:marBottom w:val="0"/>
      <w:divBdr>
        <w:top w:val="none" w:sz="0" w:space="0" w:color="auto"/>
        <w:left w:val="none" w:sz="0" w:space="0" w:color="auto"/>
        <w:bottom w:val="none" w:sz="0" w:space="0" w:color="auto"/>
        <w:right w:val="none" w:sz="0" w:space="0" w:color="auto"/>
      </w:divBdr>
    </w:div>
    <w:div w:id="1006976064">
      <w:bodyDiv w:val="1"/>
      <w:marLeft w:val="0"/>
      <w:marRight w:val="0"/>
      <w:marTop w:val="0"/>
      <w:marBottom w:val="0"/>
      <w:divBdr>
        <w:top w:val="none" w:sz="0" w:space="0" w:color="auto"/>
        <w:left w:val="none" w:sz="0" w:space="0" w:color="auto"/>
        <w:bottom w:val="none" w:sz="0" w:space="0" w:color="auto"/>
        <w:right w:val="none" w:sz="0" w:space="0" w:color="auto"/>
      </w:divBdr>
    </w:div>
    <w:div w:id="1049836693">
      <w:bodyDiv w:val="1"/>
      <w:marLeft w:val="0"/>
      <w:marRight w:val="0"/>
      <w:marTop w:val="0"/>
      <w:marBottom w:val="0"/>
      <w:divBdr>
        <w:top w:val="none" w:sz="0" w:space="0" w:color="auto"/>
        <w:left w:val="none" w:sz="0" w:space="0" w:color="auto"/>
        <w:bottom w:val="none" w:sz="0" w:space="0" w:color="auto"/>
        <w:right w:val="none" w:sz="0" w:space="0" w:color="auto"/>
      </w:divBdr>
    </w:div>
    <w:div w:id="1143041566">
      <w:bodyDiv w:val="1"/>
      <w:marLeft w:val="0"/>
      <w:marRight w:val="0"/>
      <w:marTop w:val="0"/>
      <w:marBottom w:val="0"/>
      <w:divBdr>
        <w:top w:val="none" w:sz="0" w:space="0" w:color="auto"/>
        <w:left w:val="none" w:sz="0" w:space="0" w:color="auto"/>
        <w:bottom w:val="none" w:sz="0" w:space="0" w:color="auto"/>
        <w:right w:val="none" w:sz="0" w:space="0" w:color="auto"/>
      </w:divBdr>
    </w:div>
    <w:div w:id="1162936980">
      <w:bodyDiv w:val="1"/>
      <w:marLeft w:val="0"/>
      <w:marRight w:val="0"/>
      <w:marTop w:val="0"/>
      <w:marBottom w:val="0"/>
      <w:divBdr>
        <w:top w:val="none" w:sz="0" w:space="0" w:color="auto"/>
        <w:left w:val="none" w:sz="0" w:space="0" w:color="auto"/>
        <w:bottom w:val="none" w:sz="0" w:space="0" w:color="auto"/>
        <w:right w:val="none" w:sz="0" w:space="0" w:color="auto"/>
      </w:divBdr>
    </w:div>
    <w:div w:id="1383168292">
      <w:bodyDiv w:val="1"/>
      <w:marLeft w:val="0"/>
      <w:marRight w:val="0"/>
      <w:marTop w:val="0"/>
      <w:marBottom w:val="0"/>
      <w:divBdr>
        <w:top w:val="none" w:sz="0" w:space="0" w:color="auto"/>
        <w:left w:val="none" w:sz="0" w:space="0" w:color="auto"/>
        <w:bottom w:val="none" w:sz="0" w:space="0" w:color="auto"/>
        <w:right w:val="none" w:sz="0" w:space="0" w:color="auto"/>
      </w:divBdr>
    </w:div>
    <w:div w:id="1743982657">
      <w:bodyDiv w:val="1"/>
      <w:marLeft w:val="0"/>
      <w:marRight w:val="0"/>
      <w:marTop w:val="0"/>
      <w:marBottom w:val="0"/>
      <w:divBdr>
        <w:top w:val="none" w:sz="0" w:space="0" w:color="auto"/>
        <w:left w:val="none" w:sz="0" w:space="0" w:color="auto"/>
        <w:bottom w:val="none" w:sz="0" w:space="0" w:color="auto"/>
        <w:right w:val="none" w:sz="0" w:space="0" w:color="auto"/>
      </w:divBdr>
    </w:div>
    <w:div w:id="1827625218">
      <w:bodyDiv w:val="1"/>
      <w:marLeft w:val="0"/>
      <w:marRight w:val="0"/>
      <w:marTop w:val="0"/>
      <w:marBottom w:val="0"/>
      <w:divBdr>
        <w:top w:val="none" w:sz="0" w:space="0" w:color="auto"/>
        <w:left w:val="none" w:sz="0" w:space="0" w:color="auto"/>
        <w:bottom w:val="none" w:sz="0" w:space="0" w:color="auto"/>
        <w:right w:val="none" w:sz="0" w:space="0" w:color="auto"/>
      </w:divBdr>
    </w:div>
    <w:div w:id="2117554874">
      <w:bodyDiv w:val="1"/>
      <w:marLeft w:val="0"/>
      <w:marRight w:val="0"/>
      <w:marTop w:val="0"/>
      <w:marBottom w:val="0"/>
      <w:divBdr>
        <w:top w:val="none" w:sz="0" w:space="0" w:color="auto"/>
        <w:left w:val="none" w:sz="0" w:space="0" w:color="auto"/>
        <w:bottom w:val="none" w:sz="0" w:space="0" w:color="auto"/>
        <w:right w:val="none" w:sz="0" w:space="0" w:color="auto"/>
      </w:divBdr>
    </w:div>
    <w:div w:id="21315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A6C2-4198-4BC0-88DF-EDBF0A04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2039</Words>
  <Characters>11219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Mogrovejo Gonzalez</dc:creator>
  <cp:lastModifiedBy>VASQUEZ, GLORIELA</cp:lastModifiedBy>
  <cp:revision>2</cp:revision>
  <cp:lastPrinted>2020-03-19T20:56:00Z</cp:lastPrinted>
  <dcterms:created xsi:type="dcterms:W3CDTF">2020-12-16T03:39:00Z</dcterms:created>
  <dcterms:modified xsi:type="dcterms:W3CDTF">2020-12-16T03:39:00Z</dcterms:modified>
</cp:coreProperties>
</file>