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BF55" w14:textId="197F5F33" w:rsidR="00543A7A" w:rsidRDefault="00543A7A" w:rsidP="00543A7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SUPERINTENDENCIA DE BANCOS DE PANAMÁ</w:t>
      </w:r>
    </w:p>
    <w:p w14:paraId="2D38E187" w14:textId="0F956CA7" w:rsidR="00543A7A" w:rsidRPr="00C70FF4" w:rsidRDefault="00543A7A" w:rsidP="00543A7A">
      <w:pPr>
        <w:spacing w:after="0" w:line="240" w:lineRule="auto"/>
        <w:jc w:val="center"/>
        <w:rPr>
          <w:b/>
          <w:bCs/>
        </w:rPr>
      </w:pPr>
      <w:r w:rsidRPr="00C70FF4">
        <w:rPr>
          <w:b/>
          <w:bCs/>
        </w:rPr>
        <w:t xml:space="preserve">FORMULARIO </w:t>
      </w:r>
      <w:r w:rsidR="000B1FCB" w:rsidRPr="00C70FF4">
        <w:rPr>
          <w:b/>
          <w:bCs/>
        </w:rPr>
        <w:t>GB-</w:t>
      </w:r>
      <w:r w:rsidRPr="00C70FF4">
        <w:rPr>
          <w:b/>
          <w:bCs/>
        </w:rPr>
        <w:t>SB</w:t>
      </w:r>
      <w:r w:rsidR="000B1FCB" w:rsidRPr="00C70FF4">
        <w:rPr>
          <w:b/>
          <w:bCs/>
        </w:rPr>
        <w:t>P</w:t>
      </w:r>
      <w:r w:rsidR="001F46B2" w:rsidRPr="00C70FF4">
        <w:rPr>
          <w:b/>
          <w:bCs/>
        </w:rPr>
        <w:t>-</w:t>
      </w:r>
      <w:r w:rsidRPr="00C70FF4">
        <w:rPr>
          <w:b/>
          <w:bCs/>
        </w:rPr>
        <w:t>DAE-01</w:t>
      </w:r>
    </w:p>
    <w:p w14:paraId="396A30E4" w14:textId="71E675A4" w:rsidR="00543A7A" w:rsidRPr="00543A7A" w:rsidRDefault="00543A7A" w:rsidP="00543A7A">
      <w:pPr>
        <w:spacing w:after="0" w:line="240" w:lineRule="auto"/>
        <w:jc w:val="center"/>
        <w:rPr>
          <w:b/>
          <w:bCs/>
        </w:rPr>
      </w:pPr>
      <w:r w:rsidRPr="00543A7A">
        <w:rPr>
          <w:b/>
          <w:bCs/>
        </w:rPr>
        <w:t>Aviso de Contratación de Auditores Externos de la Propietaria de Acciones Bancarias</w:t>
      </w:r>
    </w:p>
    <w:p w14:paraId="70817E1B" w14:textId="77A79CC4" w:rsidR="007028AF" w:rsidRDefault="00543A7A" w:rsidP="00543A7A">
      <w:pPr>
        <w:spacing w:line="240" w:lineRule="auto"/>
        <w:jc w:val="center"/>
      </w:pPr>
      <w:r w:rsidRPr="00543A7A">
        <w:rPr>
          <w:b/>
          <w:bCs/>
        </w:rPr>
        <w:t>(Acuerdo 4-2010</w:t>
      </w:r>
      <w:r>
        <w:rPr>
          <w:b/>
          <w:bCs/>
        </w:rPr>
        <w:t xml:space="preserve"> y sus modificaciones</w:t>
      </w:r>
      <w:r>
        <w:t>)</w:t>
      </w:r>
    </w:p>
    <w:p w14:paraId="5BF0CA76" w14:textId="77777777" w:rsidR="00543A7A" w:rsidRDefault="00543A7A" w:rsidP="00543A7A">
      <w:pPr>
        <w:spacing w:line="240" w:lineRule="auto"/>
        <w:jc w:val="center"/>
      </w:pPr>
    </w:p>
    <w:p w14:paraId="2C742754" w14:textId="5E2DA464" w:rsidR="00543A7A" w:rsidRDefault="00543A7A" w:rsidP="00543A7A">
      <w:pPr>
        <w:spacing w:line="240" w:lineRule="auto"/>
        <w:jc w:val="both"/>
        <w:rPr>
          <w:b/>
          <w:bCs/>
          <w:sz w:val="20"/>
          <w:szCs w:val="20"/>
        </w:rPr>
      </w:pPr>
      <w:r w:rsidRPr="00543A7A">
        <w:rPr>
          <w:sz w:val="20"/>
          <w:szCs w:val="20"/>
        </w:rPr>
        <w:t>“La junta directiva del sujeto regulado o el gerente general, designará dentro de los tres primeros meses de su año fiscal la firma de auditores externos que llevará a cabo la función de auditoría externa para el nuevo período fiscal. El sujeto regulado notificará a la Superintendencia el nombre de la firma de auditores externos designada, lo cual se realizará dentro de los siete (7) días calendarios posteriores a su designación”.</w:t>
      </w:r>
      <w:r w:rsidRPr="00543A7A">
        <w:rPr>
          <w:b/>
          <w:bCs/>
          <w:sz w:val="20"/>
          <w:szCs w:val="20"/>
        </w:rPr>
        <w:t> (Artículo 8, párrafo primero, Acuerdo 4-2010</w:t>
      </w:r>
      <w:r w:rsidR="0033589A">
        <w:rPr>
          <w:b/>
          <w:bCs/>
          <w:sz w:val="20"/>
          <w:szCs w:val="20"/>
        </w:rPr>
        <w:t xml:space="preserve"> y sus </w:t>
      </w:r>
      <w:r w:rsidR="006A5603">
        <w:rPr>
          <w:b/>
          <w:bCs/>
          <w:sz w:val="20"/>
          <w:szCs w:val="20"/>
        </w:rPr>
        <w:t>modificaciones</w:t>
      </w:r>
      <w:r w:rsidR="00A61388">
        <w:rPr>
          <w:b/>
          <w:bCs/>
          <w:sz w:val="20"/>
          <w:szCs w:val="20"/>
        </w:rPr>
        <w:t>).</w:t>
      </w:r>
    </w:p>
    <w:p w14:paraId="3514BA56" w14:textId="77777777" w:rsidR="00543A7A" w:rsidRDefault="00543A7A" w:rsidP="00543A7A">
      <w:pPr>
        <w:spacing w:line="240" w:lineRule="auto"/>
        <w:jc w:val="both"/>
        <w:rPr>
          <w:b/>
          <w:bCs/>
          <w:sz w:val="20"/>
          <w:szCs w:val="20"/>
        </w:rPr>
      </w:pPr>
    </w:p>
    <w:p w14:paraId="03ED82E0" w14:textId="63278520" w:rsidR="00543A7A" w:rsidRPr="009D3356" w:rsidRDefault="00543A7A" w:rsidP="00543A7A">
      <w:pPr>
        <w:spacing w:line="240" w:lineRule="auto"/>
        <w:jc w:val="both"/>
      </w:pPr>
      <w:r w:rsidRPr="009D3356">
        <w:t xml:space="preserve">Fecha de </w:t>
      </w:r>
      <w:r w:rsidR="00571957">
        <w:t>n</w:t>
      </w:r>
      <w:r w:rsidRPr="009D3356">
        <w:t>otificación:</w:t>
      </w:r>
      <w:r w:rsidR="006A1060">
        <w:t xml:space="preserve"> </w:t>
      </w:r>
    </w:p>
    <w:p w14:paraId="6AD2C35A" w14:textId="1332B38A" w:rsidR="00543A7A" w:rsidRPr="009D3356" w:rsidRDefault="00543A7A" w:rsidP="00543A7A">
      <w:pPr>
        <w:spacing w:line="240" w:lineRule="auto"/>
        <w:jc w:val="both"/>
      </w:pPr>
      <w:r w:rsidRPr="009D3356">
        <w:t>Nombre del Grupo</w:t>
      </w:r>
      <w:r w:rsidR="00632A34">
        <w:t xml:space="preserve"> Bancario</w:t>
      </w:r>
      <w:r w:rsidRPr="009D3356">
        <w:t>:</w:t>
      </w:r>
    </w:p>
    <w:p w14:paraId="7BD139FE" w14:textId="3DFC5565" w:rsidR="00543A7A" w:rsidRPr="009D3356" w:rsidRDefault="00543A7A" w:rsidP="00543A7A">
      <w:pPr>
        <w:spacing w:line="240" w:lineRule="auto"/>
        <w:jc w:val="both"/>
      </w:pPr>
      <w:r w:rsidRPr="009D3356">
        <w:t xml:space="preserve">Firma de auditores </w:t>
      </w:r>
      <w:r w:rsidR="00D06458">
        <w:t xml:space="preserve">externos </w:t>
      </w:r>
      <w:r w:rsidRPr="009D3356">
        <w:t>que se contratará:</w:t>
      </w:r>
    </w:p>
    <w:p w14:paraId="5CF1927F" w14:textId="0DA40CF9" w:rsidR="00543A7A" w:rsidRPr="009D3356" w:rsidRDefault="00543A7A" w:rsidP="00543A7A">
      <w:pPr>
        <w:spacing w:line="240" w:lineRule="auto"/>
        <w:jc w:val="both"/>
      </w:pPr>
      <w:r w:rsidRPr="009D3356">
        <w:t>Fecha de designación de auditores externos:</w:t>
      </w:r>
    </w:p>
    <w:p w14:paraId="0A1CEE77" w14:textId="4B99434F" w:rsidR="00543A7A" w:rsidRDefault="00250BF1" w:rsidP="00543A7A">
      <w:pPr>
        <w:spacing w:line="240" w:lineRule="auto"/>
        <w:jc w:val="both"/>
        <w:rPr>
          <w:sz w:val="20"/>
          <w:szCs w:val="20"/>
        </w:rPr>
      </w:pPr>
      <w:r>
        <w:t xml:space="preserve">Cierre de periodo fiscal: </w:t>
      </w:r>
    </w:p>
    <w:p w14:paraId="347C4113" w14:textId="77777777" w:rsidR="00543A7A" w:rsidRPr="00543A7A" w:rsidRDefault="00543A7A" w:rsidP="00543A7A">
      <w:pPr>
        <w:spacing w:line="240" w:lineRule="auto"/>
        <w:jc w:val="both"/>
        <w:rPr>
          <w:sz w:val="20"/>
          <w:szCs w:val="20"/>
        </w:rPr>
      </w:pPr>
    </w:p>
    <w:p w14:paraId="77440E47" w14:textId="0052B5C9" w:rsidR="00543A7A" w:rsidRPr="0033589A" w:rsidRDefault="00533535" w:rsidP="00543A7A">
      <w:pPr>
        <w:spacing w:line="240" w:lineRule="auto"/>
        <w:jc w:val="center"/>
        <w:rPr>
          <w:rFonts w:ascii="Aptos" w:hAnsi="Aptos"/>
          <w:sz w:val="20"/>
          <w:szCs w:val="20"/>
        </w:rPr>
      </w:pPr>
      <w:r w:rsidRPr="0035709D">
        <w:rPr>
          <w:rFonts w:ascii="Aptos" w:hAnsi="Aptos" w:cs="Tahoma,Bold"/>
          <w:b/>
          <w:bCs/>
          <w:kern w:val="0"/>
          <w:sz w:val="20"/>
          <w:szCs w:val="20"/>
        </w:rPr>
        <w:t>Evidencia de</w:t>
      </w:r>
      <w:r w:rsidR="006E6A51" w:rsidRPr="0035709D">
        <w:rPr>
          <w:rFonts w:ascii="Aptos" w:hAnsi="Aptos" w:cs="Tahoma,Bold"/>
          <w:b/>
          <w:bCs/>
          <w:kern w:val="0"/>
          <w:sz w:val="20"/>
          <w:szCs w:val="20"/>
        </w:rPr>
        <w:t xml:space="preserve"> la gestión </w:t>
      </w:r>
      <w:r w:rsidRPr="0035709D">
        <w:rPr>
          <w:rFonts w:ascii="Aptos" w:hAnsi="Aptos" w:cs="Tahoma,Bold"/>
          <w:b/>
          <w:bCs/>
          <w:kern w:val="0"/>
          <w:sz w:val="20"/>
          <w:szCs w:val="20"/>
        </w:rPr>
        <w:t xml:space="preserve">de </w:t>
      </w:r>
      <w:r w:rsidR="006E6A51">
        <w:rPr>
          <w:rFonts w:ascii="Aptos" w:hAnsi="Aptos" w:cs="Tahoma,Bold"/>
          <w:b/>
          <w:bCs/>
          <w:kern w:val="0"/>
          <w:sz w:val="20"/>
          <w:szCs w:val="20"/>
        </w:rPr>
        <w:t xml:space="preserve">la </w:t>
      </w:r>
      <w:r w:rsidRPr="0033589A">
        <w:rPr>
          <w:rFonts w:ascii="Aptos" w:hAnsi="Aptos" w:cs="Tahoma,Bold"/>
          <w:b/>
          <w:bCs/>
          <w:kern w:val="0"/>
          <w:sz w:val="20"/>
          <w:szCs w:val="20"/>
        </w:rPr>
        <w:t>calidad de la firma y sus políticas de independencia</w:t>
      </w:r>
    </w:p>
    <w:p w14:paraId="649EA4E4" w14:textId="70886600" w:rsidR="00DD5E9C" w:rsidRPr="00DD5E9C" w:rsidRDefault="00DD5E9C" w:rsidP="00DD5E9C">
      <w:pPr>
        <w:spacing w:line="240" w:lineRule="auto"/>
        <w:jc w:val="both"/>
        <w:rPr>
          <w:sz w:val="20"/>
          <w:szCs w:val="20"/>
        </w:rPr>
      </w:pPr>
      <w:r w:rsidRPr="00DD5E9C">
        <w:rPr>
          <w:sz w:val="20"/>
          <w:szCs w:val="20"/>
        </w:rPr>
        <w:t>“Los sujetos regulados, para asegurarse de la competencia de las firmas auditoras y la calidad de su trabajo, solicitarán a éstas la evidencia de control de calidad de las firmas</w:t>
      </w:r>
      <w:r w:rsidR="005A23BB">
        <w:rPr>
          <w:sz w:val="20"/>
          <w:szCs w:val="20"/>
        </w:rPr>
        <w:t xml:space="preserve"> que establece </w:t>
      </w:r>
      <w:r w:rsidR="009A2197">
        <w:rPr>
          <w:sz w:val="20"/>
          <w:szCs w:val="20"/>
        </w:rPr>
        <w:t>la Norma Internacional de Gestión de la Calidad (NIGC)</w:t>
      </w:r>
      <w:r w:rsidR="00053006">
        <w:rPr>
          <w:sz w:val="20"/>
          <w:szCs w:val="20"/>
        </w:rPr>
        <w:t xml:space="preserve"> 1</w:t>
      </w:r>
      <w:r w:rsidRPr="00DD5E9C">
        <w:rPr>
          <w:sz w:val="20"/>
          <w:szCs w:val="20"/>
        </w:rPr>
        <w:t>, además de sus políticas de independencia, evidencias éstas que deberán remitir a la Superintendencia al momento de aviso de contratación.                               </w:t>
      </w:r>
    </w:p>
    <w:p w14:paraId="45E9299D" w14:textId="184209C0" w:rsidR="00543A7A" w:rsidRDefault="00DD5E9C" w:rsidP="0033589A">
      <w:pPr>
        <w:spacing w:line="240" w:lineRule="auto"/>
        <w:jc w:val="both"/>
        <w:rPr>
          <w:sz w:val="20"/>
          <w:szCs w:val="20"/>
        </w:rPr>
      </w:pPr>
      <w:r w:rsidRPr="00DD5E9C">
        <w:rPr>
          <w:sz w:val="20"/>
          <w:szCs w:val="20"/>
        </w:rPr>
        <w:t>La información a la cual hace referencia el párrafo anterior también podrá ser presentada a esta Superintendencia por la firma de auditores externos previo acuerdo con el sujeto regulado auditado…”</w:t>
      </w:r>
      <w:r w:rsidR="00B96A78">
        <w:rPr>
          <w:sz w:val="20"/>
          <w:szCs w:val="20"/>
        </w:rPr>
        <w:t xml:space="preserve"> </w:t>
      </w:r>
      <w:r w:rsidR="0033589A" w:rsidRPr="0033589A">
        <w:rPr>
          <w:sz w:val="20"/>
          <w:szCs w:val="20"/>
        </w:rPr>
        <w:t xml:space="preserve"> (Artículo 8, Acuerdo 4-2010</w:t>
      </w:r>
      <w:r w:rsidR="0033589A" w:rsidRPr="00BB58F5">
        <w:rPr>
          <w:sz w:val="20"/>
          <w:szCs w:val="20"/>
        </w:rPr>
        <w:t xml:space="preserve"> y sus modificaciones)</w:t>
      </w:r>
      <w:r w:rsidR="00BA4E42">
        <w:rPr>
          <w:sz w:val="20"/>
          <w:szCs w:val="20"/>
        </w:rPr>
        <w:t>.</w:t>
      </w:r>
    </w:p>
    <w:p w14:paraId="3D9A07B5" w14:textId="77777777" w:rsidR="002B63ED" w:rsidRDefault="002B63ED" w:rsidP="0033589A">
      <w:pPr>
        <w:spacing w:line="240" w:lineRule="auto"/>
        <w:jc w:val="both"/>
        <w:rPr>
          <w:sz w:val="20"/>
          <w:szCs w:val="20"/>
        </w:rPr>
      </w:pPr>
    </w:p>
    <w:p w14:paraId="3512D464" w14:textId="16E3E811" w:rsidR="002B63ED" w:rsidRDefault="002B63ED" w:rsidP="0033589A">
      <w:pPr>
        <w:spacing w:line="240" w:lineRule="auto"/>
        <w:jc w:val="both"/>
        <w:rPr>
          <w:sz w:val="20"/>
          <w:szCs w:val="20"/>
        </w:rPr>
      </w:pPr>
      <w:r w:rsidRPr="002B63ED">
        <w:rPr>
          <w:sz w:val="20"/>
          <w:szCs w:val="20"/>
        </w:rPr>
        <w:t>La evidencia de control de calidad y políticas de independencia de la firma auditora son remitidas por:</w:t>
      </w:r>
    </w:p>
    <w:p w14:paraId="2A9D37D1" w14:textId="77777777" w:rsidR="00612F3E" w:rsidRDefault="00612F3E" w:rsidP="0033589A">
      <w:pPr>
        <w:spacing w:line="240" w:lineRule="auto"/>
        <w:jc w:val="both"/>
        <w:rPr>
          <w:sz w:val="20"/>
          <w:szCs w:val="20"/>
        </w:rPr>
      </w:pPr>
    </w:p>
    <w:p w14:paraId="138719B9" w14:textId="2B7AA1A5" w:rsidR="00612F3E" w:rsidRDefault="00082145" w:rsidP="0033589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D66859">
        <w:rPr>
          <w:sz w:val="20"/>
          <w:szCs w:val="20"/>
        </w:rPr>
        <w:t xml:space="preserve"> </w:t>
      </w:r>
      <w:r w:rsidR="00612F3E" w:rsidRPr="00612F3E">
        <w:rPr>
          <w:sz w:val="20"/>
          <w:szCs w:val="20"/>
        </w:rPr>
        <w:t>Banco</w:t>
      </w:r>
      <w:r w:rsidR="00612F3E">
        <w:rPr>
          <w:sz w:val="20"/>
          <w:szCs w:val="20"/>
        </w:rPr>
        <w:tab/>
      </w:r>
      <w:r w:rsidR="00612F3E">
        <w:rPr>
          <w:sz w:val="20"/>
          <w:szCs w:val="20"/>
        </w:rPr>
        <w:tab/>
      </w:r>
      <w:r w:rsidR="00612F3E">
        <w:rPr>
          <w:sz w:val="20"/>
          <w:szCs w:val="20"/>
        </w:rPr>
        <w:tab/>
      </w:r>
      <w:r w:rsidR="00612F3E">
        <w:rPr>
          <w:sz w:val="20"/>
          <w:szCs w:val="20"/>
        </w:rPr>
        <w:tab/>
      </w:r>
      <w:r w:rsidR="00240760">
        <w:rPr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240760">
        <w:rPr>
          <w:sz w:val="20"/>
          <w:szCs w:val="20"/>
        </w:rPr>
        <w:instrText xml:space="preserve"> FORMCHECKBOX </w:instrText>
      </w:r>
      <w:r w:rsidR="00240760">
        <w:rPr>
          <w:sz w:val="20"/>
          <w:szCs w:val="20"/>
        </w:rPr>
      </w:r>
      <w:r w:rsidR="00240760">
        <w:rPr>
          <w:sz w:val="20"/>
          <w:szCs w:val="20"/>
        </w:rPr>
        <w:fldChar w:fldCharType="separate"/>
      </w:r>
      <w:r w:rsidR="00240760">
        <w:rPr>
          <w:sz w:val="20"/>
          <w:szCs w:val="20"/>
        </w:rPr>
        <w:fldChar w:fldCharType="end"/>
      </w:r>
      <w:bookmarkEnd w:id="0"/>
      <w:r w:rsidR="00240760">
        <w:rPr>
          <w:sz w:val="20"/>
          <w:szCs w:val="20"/>
        </w:rPr>
        <w:t xml:space="preserve"> </w:t>
      </w:r>
      <w:r w:rsidR="00612F3E" w:rsidRPr="00612F3E">
        <w:rPr>
          <w:sz w:val="20"/>
          <w:szCs w:val="20"/>
        </w:rPr>
        <w:t>Firma Auditora</w:t>
      </w:r>
    </w:p>
    <w:p w14:paraId="07323D3F" w14:textId="77777777" w:rsidR="00E21454" w:rsidRDefault="00E21454" w:rsidP="0033589A">
      <w:pPr>
        <w:spacing w:line="240" w:lineRule="auto"/>
        <w:jc w:val="both"/>
        <w:rPr>
          <w:sz w:val="20"/>
          <w:szCs w:val="20"/>
        </w:rPr>
      </w:pPr>
    </w:p>
    <w:p w14:paraId="513A2E64" w14:textId="151E8061" w:rsidR="00543A7A" w:rsidRPr="00543A7A" w:rsidRDefault="00543A7A" w:rsidP="00543A7A">
      <w:pPr>
        <w:spacing w:line="240" w:lineRule="auto"/>
        <w:jc w:val="both"/>
        <w:rPr>
          <w:sz w:val="16"/>
          <w:szCs w:val="16"/>
        </w:rPr>
      </w:pPr>
      <w:r w:rsidRPr="00543A7A">
        <w:rPr>
          <w:sz w:val="16"/>
          <w:szCs w:val="16"/>
        </w:rPr>
        <w:t>La Superintendencia de Bancos de Panamá, en atención y concordancia con el derecho al tratamiento y la protección de datos personales y en base a los principios de licitud, veracidad, exactitud, transparencia, confidencialidad, finalidad, lealtad, proporcionalidad, responsabilidad, seguridad de datos y portabilidad, sobre la información y datos personales de clientes, proveedores, colaboradores y excolaboradores, comunica que dichos datos serán tratados de forma estrictamente confidencial y en salvaguarda, de conformidad con lo establecido en la Ley 81 de 2019 y el Decreto Ejecutivo 285 de 28 de mayo de 2021 que la reglamenta y la política interna desarrollada por esta entidad, disponible en </w:t>
      </w:r>
      <w:hyperlink r:id="rId4" w:tgtFrame="_blank" w:history="1">
        <w:r w:rsidRPr="00543A7A">
          <w:rPr>
            <w:rStyle w:val="Hipervnculo"/>
            <w:b/>
            <w:bCs/>
            <w:sz w:val="16"/>
            <w:szCs w:val="16"/>
          </w:rPr>
          <w:t>"Documentos de protección de datos personales"</w:t>
        </w:r>
      </w:hyperlink>
      <w:r w:rsidRPr="00543A7A">
        <w:rPr>
          <w:sz w:val="16"/>
          <w:szCs w:val="16"/>
        </w:rPr>
        <w:t xml:space="preserve">. </w:t>
      </w:r>
      <w:r w:rsidR="00C12303">
        <w:rPr>
          <w:sz w:val="16"/>
          <w:szCs w:val="16"/>
        </w:rPr>
        <w:t xml:space="preserve"> </w:t>
      </w:r>
      <w:r w:rsidRPr="00543A7A">
        <w:rPr>
          <w:sz w:val="16"/>
          <w:szCs w:val="16"/>
        </w:rPr>
        <w:t>Si el titular de los datos personales no acepta en su totalidad la política de protección de datos ni los términos y condiciones de este aviso, deberá abstenerse de compartir cualquier tipo de información a la Superintendencia de Bancos de Panamá por cualquier medio físico, óptico y/o electrónico. En todo momento el titular podrá limitar el uso o divulgación del tratamiento de sus datos personales, para tal efecto deberá ponerse en contacto a través del correo electrónico: datospersonales@superbancos.gob.pa </w:t>
      </w:r>
    </w:p>
    <w:sectPr w:rsidR="00543A7A" w:rsidRPr="00543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7A"/>
    <w:rsid w:val="00053006"/>
    <w:rsid w:val="00082145"/>
    <w:rsid w:val="000A173B"/>
    <w:rsid w:val="000B1FCB"/>
    <w:rsid w:val="000B2223"/>
    <w:rsid w:val="000B42A8"/>
    <w:rsid w:val="000F6FB1"/>
    <w:rsid w:val="001748E6"/>
    <w:rsid w:val="001F46B2"/>
    <w:rsid w:val="00240760"/>
    <w:rsid w:val="00250BF1"/>
    <w:rsid w:val="00261805"/>
    <w:rsid w:val="002A6094"/>
    <w:rsid w:val="002B63ED"/>
    <w:rsid w:val="0033589A"/>
    <w:rsid w:val="0035709D"/>
    <w:rsid w:val="00442BB8"/>
    <w:rsid w:val="004E267A"/>
    <w:rsid w:val="00533535"/>
    <w:rsid w:val="00543A7A"/>
    <w:rsid w:val="00571957"/>
    <w:rsid w:val="005A23BB"/>
    <w:rsid w:val="005D224E"/>
    <w:rsid w:val="00612F3E"/>
    <w:rsid w:val="00617B5E"/>
    <w:rsid w:val="00632A34"/>
    <w:rsid w:val="006A1060"/>
    <w:rsid w:val="006A5603"/>
    <w:rsid w:val="006E56CF"/>
    <w:rsid w:val="006E6A51"/>
    <w:rsid w:val="007028AF"/>
    <w:rsid w:val="00715A00"/>
    <w:rsid w:val="00742468"/>
    <w:rsid w:val="007D59B2"/>
    <w:rsid w:val="009A2197"/>
    <w:rsid w:val="009D3356"/>
    <w:rsid w:val="00A4444B"/>
    <w:rsid w:val="00A61388"/>
    <w:rsid w:val="00B21874"/>
    <w:rsid w:val="00B2385F"/>
    <w:rsid w:val="00B96A78"/>
    <w:rsid w:val="00BA0EB9"/>
    <w:rsid w:val="00BA4E42"/>
    <w:rsid w:val="00BB58F5"/>
    <w:rsid w:val="00C12303"/>
    <w:rsid w:val="00C70FF4"/>
    <w:rsid w:val="00D06458"/>
    <w:rsid w:val="00D14452"/>
    <w:rsid w:val="00D41646"/>
    <w:rsid w:val="00D66859"/>
    <w:rsid w:val="00D86592"/>
    <w:rsid w:val="00DD112C"/>
    <w:rsid w:val="00DD5E9C"/>
    <w:rsid w:val="00E21454"/>
    <w:rsid w:val="00E9088C"/>
    <w:rsid w:val="00F467A6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73D4"/>
  <w15:chartTrackingRefBased/>
  <w15:docId w15:val="{368AF22C-B1F2-45DB-A709-048EA113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A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A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A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A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A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A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A7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43A7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perbancos.gob.pa/es/proteccion-d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CAMPUZANO, JACKELINE</dc:creator>
  <cp:keywords/>
  <dc:description/>
  <cp:lastModifiedBy>RODRIGUEZ, RUBEN</cp:lastModifiedBy>
  <cp:revision>2</cp:revision>
  <dcterms:created xsi:type="dcterms:W3CDTF">2026-02-02T16:40:00Z</dcterms:created>
  <dcterms:modified xsi:type="dcterms:W3CDTF">2026-02-02T16:40:00Z</dcterms:modified>
</cp:coreProperties>
</file>