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19153" w14:textId="77777777" w:rsidR="008A5535" w:rsidRDefault="00064DB4" w:rsidP="00064DB4">
      <w:pPr>
        <w:jc w:val="center"/>
        <w:rPr>
          <w:rFonts w:ascii="Arial" w:hAnsi="Arial" w:cs="Arial"/>
          <w:b/>
          <w:lang w:val="es-PA"/>
        </w:rPr>
      </w:pPr>
      <w:bookmarkStart w:id="0" w:name="_GoBack"/>
      <w:bookmarkEnd w:id="0"/>
      <w:r w:rsidRPr="00064DB4">
        <w:rPr>
          <w:rFonts w:ascii="Arial" w:hAnsi="Arial" w:cs="Arial"/>
          <w:b/>
          <w:lang w:val="es-PA"/>
        </w:rPr>
        <w:t>SUPERINTENDENCIA DE BANCOS DE PANAMÁ</w:t>
      </w:r>
    </w:p>
    <w:p w14:paraId="58E0E0D0" w14:textId="5EE67274" w:rsidR="00064DB4" w:rsidRDefault="00296397" w:rsidP="00064DB4">
      <w:pPr>
        <w:jc w:val="center"/>
        <w:rPr>
          <w:rFonts w:ascii="Arial" w:hAnsi="Arial" w:cs="Arial"/>
          <w:b/>
          <w:lang w:val="es-PA"/>
        </w:rPr>
      </w:pPr>
      <w:r>
        <w:rPr>
          <w:rFonts w:ascii="Arial" w:hAnsi="Arial" w:cs="Arial"/>
          <w:b/>
          <w:lang w:val="es-PA"/>
        </w:rPr>
        <w:t>ANEXO CIRCULAR</w:t>
      </w:r>
    </w:p>
    <w:p w14:paraId="461D663A" w14:textId="77777777" w:rsidR="00064DB4" w:rsidRDefault="00064DB4" w:rsidP="00064DB4">
      <w:pPr>
        <w:jc w:val="center"/>
        <w:rPr>
          <w:rFonts w:ascii="Arial" w:hAnsi="Arial" w:cs="Arial"/>
          <w:b/>
          <w:lang w:val="es-PA"/>
        </w:rPr>
      </w:pPr>
      <w:r>
        <w:rPr>
          <w:rFonts w:ascii="Arial" w:hAnsi="Arial" w:cs="Arial"/>
          <w:b/>
          <w:lang w:val="es-PA"/>
        </w:rPr>
        <w:t xml:space="preserve">MODELO DE NOTA A LOS ESTADOS FINANCIEROS AUDITADOS SOBRE LA CARTERA </w:t>
      </w:r>
      <w:r w:rsidR="000F4F26">
        <w:rPr>
          <w:rFonts w:ascii="Arial" w:hAnsi="Arial" w:cs="Arial"/>
          <w:b/>
          <w:lang w:val="es-PA"/>
        </w:rPr>
        <w:t xml:space="preserve">CATEGORIA </w:t>
      </w:r>
      <w:r>
        <w:rPr>
          <w:rFonts w:ascii="Arial" w:hAnsi="Arial" w:cs="Arial"/>
          <w:b/>
          <w:lang w:val="es-PA"/>
        </w:rPr>
        <w:t>MENCIÓN ESPECIAL MODIFICADO</w:t>
      </w:r>
    </w:p>
    <w:p w14:paraId="70E790AA" w14:textId="77777777" w:rsidR="00064DB4" w:rsidRDefault="00064DB4" w:rsidP="00064DB4">
      <w:pPr>
        <w:jc w:val="center"/>
        <w:rPr>
          <w:rFonts w:ascii="Arial" w:hAnsi="Arial" w:cs="Arial"/>
          <w:b/>
          <w:lang w:val="es-PA"/>
        </w:rPr>
      </w:pPr>
    </w:p>
    <w:p w14:paraId="7EA5C28A" w14:textId="15666309" w:rsidR="00064DB4" w:rsidRPr="00064DB4" w:rsidRDefault="00064DB4" w:rsidP="00342F4A">
      <w:pPr>
        <w:spacing w:after="0" w:line="276" w:lineRule="auto"/>
        <w:rPr>
          <w:rFonts w:ascii="Arial" w:hAnsi="Arial" w:cs="Arial"/>
          <w:b/>
          <w:lang w:val="es-PA"/>
        </w:rPr>
      </w:pPr>
      <w:r w:rsidRPr="00064DB4">
        <w:rPr>
          <w:rFonts w:ascii="Arial" w:hAnsi="Arial" w:cs="Arial"/>
          <w:b/>
          <w:lang w:val="es-PA"/>
        </w:rPr>
        <w:t xml:space="preserve">NOTA XX. </w:t>
      </w:r>
      <w:r w:rsidR="00717960">
        <w:rPr>
          <w:rFonts w:ascii="Arial" w:hAnsi="Arial" w:cs="Arial"/>
          <w:b/>
          <w:lang w:val="es-PA"/>
        </w:rPr>
        <w:t>TEMAS REGULATORIOS</w:t>
      </w:r>
    </w:p>
    <w:p w14:paraId="382520D8" w14:textId="77777777" w:rsidR="00717960" w:rsidRDefault="00717960" w:rsidP="00717960">
      <w:pPr>
        <w:spacing w:after="0" w:line="276" w:lineRule="auto"/>
        <w:rPr>
          <w:rFonts w:ascii="Arial" w:hAnsi="Arial" w:cs="Arial"/>
          <w:b/>
          <w:lang w:val="es-PA"/>
        </w:rPr>
      </w:pPr>
    </w:p>
    <w:p w14:paraId="0369C9ED" w14:textId="77777777" w:rsidR="00717960" w:rsidRDefault="00717960" w:rsidP="00717960">
      <w:pPr>
        <w:spacing w:after="0" w:line="276" w:lineRule="auto"/>
        <w:rPr>
          <w:rFonts w:ascii="Arial" w:hAnsi="Arial" w:cs="Arial"/>
          <w:lang w:val="es-PA"/>
        </w:rPr>
      </w:pPr>
      <w:r>
        <w:rPr>
          <w:rFonts w:ascii="Arial" w:hAnsi="Arial" w:cs="Arial"/>
          <w:b/>
          <w:lang w:val="es-PA"/>
        </w:rPr>
        <w:t>Pré</w:t>
      </w:r>
      <w:r w:rsidRPr="00064DB4">
        <w:rPr>
          <w:rFonts w:ascii="Arial" w:hAnsi="Arial" w:cs="Arial"/>
          <w:b/>
          <w:lang w:val="es-PA"/>
        </w:rPr>
        <w:t xml:space="preserve">stamos </w:t>
      </w:r>
      <w:r>
        <w:rPr>
          <w:rFonts w:ascii="Arial" w:hAnsi="Arial" w:cs="Arial"/>
          <w:b/>
          <w:lang w:val="es-PA"/>
        </w:rPr>
        <w:t xml:space="preserve">categoría </w:t>
      </w:r>
      <w:r w:rsidRPr="00064DB4">
        <w:rPr>
          <w:rFonts w:ascii="Arial" w:hAnsi="Arial" w:cs="Arial"/>
          <w:b/>
          <w:lang w:val="es-PA"/>
        </w:rPr>
        <w:t>mención especial modificado</w:t>
      </w:r>
    </w:p>
    <w:p w14:paraId="0C743935" w14:textId="77777777" w:rsidR="00717960" w:rsidRDefault="00717960" w:rsidP="00717960">
      <w:pPr>
        <w:spacing w:after="0" w:line="276" w:lineRule="auto"/>
        <w:rPr>
          <w:rFonts w:ascii="Arial" w:hAnsi="Arial" w:cs="Arial"/>
          <w:lang w:val="es-PA"/>
        </w:rPr>
      </w:pPr>
    </w:p>
    <w:p w14:paraId="61C34AE4" w14:textId="7FB31CD7" w:rsidR="00064DB4" w:rsidRDefault="00064DB4" w:rsidP="003D3364">
      <w:pPr>
        <w:spacing w:after="0" w:line="276" w:lineRule="auto"/>
        <w:jc w:val="both"/>
        <w:rPr>
          <w:rFonts w:ascii="Arial" w:hAnsi="Arial" w:cs="Arial"/>
          <w:lang w:val="es-PA"/>
        </w:rPr>
      </w:pPr>
      <w:r>
        <w:rPr>
          <w:rFonts w:ascii="Arial" w:hAnsi="Arial" w:cs="Arial"/>
          <w:lang w:val="es-PA"/>
        </w:rPr>
        <w:t xml:space="preserve">De conformidad con lo requerido por el </w:t>
      </w:r>
      <w:r w:rsidR="003D3364">
        <w:rPr>
          <w:rFonts w:ascii="Arial" w:hAnsi="Arial" w:cs="Arial"/>
          <w:lang w:val="es-PA"/>
        </w:rPr>
        <w:t>artículo</w:t>
      </w:r>
      <w:r w:rsidR="00BE337F">
        <w:rPr>
          <w:rFonts w:ascii="Arial" w:hAnsi="Arial" w:cs="Arial"/>
          <w:lang w:val="es-PA"/>
        </w:rPr>
        <w:t xml:space="preserve"> 8</w:t>
      </w:r>
      <w:r>
        <w:rPr>
          <w:rFonts w:ascii="Arial" w:hAnsi="Arial" w:cs="Arial"/>
          <w:lang w:val="es-PA"/>
        </w:rPr>
        <w:t xml:space="preserve"> del Acuerdo No. </w:t>
      </w:r>
      <w:r w:rsidR="00BE337F">
        <w:rPr>
          <w:rFonts w:ascii="Arial" w:hAnsi="Arial" w:cs="Arial"/>
          <w:lang w:val="es-PA"/>
        </w:rPr>
        <w:t>6</w:t>
      </w:r>
      <w:r>
        <w:rPr>
          <w:rFonts w:ascii="Arial" w:hAnsi="Arial" w:cs="Arial"/>
          <w:lang w:val="es-PA"/>
        </w:rPr>
        <w:t>-20</w:t>
      </w:r>
      <w:r w:rsidR="00BE337F">
        <w:rPr>
          <w:rFonts w:ascii="Arial" w:hAnsi="Arial" w:cs="Arial"/>
          <w:lang w:val="es-PA"/>
        </w:rPr>
        <w:t>2</w:t>
      </w:r>
      <w:r w:rsidR="00626ECD">
        <w:rPr>
          <w:rFonts w:ascii="Arial" w:hAnsi="Arial" w:cs="Arial"/>
          <w:lang w:val="es-PA"/>
        </w:rPr>
        <w:t>1</w:t>
      </w:r>
      <w:r>
        <w:rPr>
          <w:rFonts w:ascii="Arial" w:hAnsi="Arial" w:cs="Arial"/>
          <w:lang w:val="es-PA"/>
        </w:rPr>
        <w:t xml:space="preserve"> de </w:t>
      </w:r>
      <w:r w:rsidR="00BE337F">
        <w:rPr>
          <w:rFonts w:ascii="Arial" w:hAnsi="Arial" w:cs="Arial"/>
          <w:lang w:val="es-PA"/>
        </w:rPr>
        <w:t>22</w:t>
      </w:r>
      <w:r>
        <w:rPr>
          <w:rFonts w:ascii="Arial" w:hAnsi="Arial" w:cs="Arial"/>
          <w:lang w:val="es-PA"/>
        </w:rPr>
        <w:t xml:space="preserve"> de </w:t>
      </w:r>
      <w:r w:rsidR="00626ECD">
        <w:rPr>
          <w:rFonts w:ascii="Arial" w:hAnsi="Arial" w:cs="Arial"/>
          <w:lang w:val="es-PA"/>
        </w:rPr>
        <w:t>diciembre</w:t>
      </w:r>
      <w:r>
        <w:rPr>
          <w:rFonts w:ascii="Arial" w:hAnsi="Arial" w:cs="Arial"/>
          <w:lang w:val="es-PA"/>
        </w:rPr>
        <w:t xml:space="preserve"> de 202</w:t>
      </w:r>
      <w:r w:rsidR="00626ECD">
        <w:rPr>
          <w:rFonts w:ascii="Arial" w:hAnsi="Arial" w:cs="Arial"/>
          <w:lang w:val="es-PA"/>
        </w:rPr>
        <w:t>1,</w:t>
      </w:r>
      <w:r>
        <w:rPr>
          <w:rFonts w:ascii="Arial" w:hAnsi="Arial" w:cs="Arial"/>
          <w:lang w:val="es-PA"/>
        </w:rPr>
        <w:t xml:space="preserve"> </w:t>
      </w:r>
      <w:r w:rsidR="00BB3688">
        <w:rPr>
          <w:rFonts w:ascii="Arial" w:hAnsi="Arial" w:cs="Arial"/>
          <w:lang w:val="es-PA"/>
        </w:rPr>
        <w:t xml:space="preserve">se presenta a continuación un detalle de la cartera de préstamos </w:t>
      </w:r>
      <w:r w:rsidR="00DC4A46">
        <w:rPr>
          <w:rFonts w:ascii="Arial" w:hAnsi="Arial" w:cs="Arial"/>
          <w:lang w:val="es-PA"/>
        </w:rPr>
        <w:t xml:space="preserve">categoría </w:t>
      </w:r>
      <w:r w:rsidR="00BB3688">
        <w:rPr>
          <w:rFonts w:ascii="Arial" w:hAnsi="Arial" w:cs="Arial"/>
          <w:lang w:val="es-PA"/>
        </w:rPr>
        <w:t>mención especial modificado y sus respectivas provisiones y reservas regulatorias</w:t>
      </w:r>
      <w:r w:rsidR="00D00170">
        <w:rPr>
          <w:rFonts w:ascii="Arial" w:hAnsi="Arial" w:cs="Arial"/>
          <w:lang w:val="es-PA"/>
        </w:rPr>
        <w:t xml:space="preserve"> al 31 de diciembre de </w:t>
      </w:r>
      <w:r w:rsidR="00D00170" w:rsidRPr="00837245">
        <w:rPr>
          <w:rFonts w:ascii="Arial" w:hAnsi="Arial" w:cs="Arial"/>
          <w:lang w:val="es-PA"/>
        </w:rPr>
        <w:t>202</w:t>
      </w:r>
      <w:r w:rsidR="003D3364" w:rsidRPr="00837245">
        <w:rPr>
          <w:rFonts w:ascii="Arial" w:hAnsi="Arial" w:cs="Arial"/>
          <w:lang w:val="es-PA"/>
        </w:rPr>
        <w:t>1</w:t>
      </w:r>
      <w:r w:rsidR="00BE337F">
        <w:rPr>
          <w:rFonts w:ascii="Arial" w:hAnsi="Arial" w:cs="Arial"/>
          <w:lang w:val="es-PA"/>
        </w:rPr>
        <w:t xml:space="preserve">, clasificado según </w:t>
      </w:r>
      <w:r w:rsidR="00F42270">
        <w:rPr>
          <w:rFonts w:ascii="Arial" w:hAnsi="Arial" w:cs="Arial"/>
          <w:lang w:val="es-PA"/>
        </w:rPr>
        <w:t>las codificaciones</w:t>
      </w:r>
      <w:r w:rsidR="00BE337F">
        <w:rPr>
          <w:rFonts w:ascii="Arial" w:hAnsi="Arial" w:cs="Arial"/>
          <w:lang w:val="es-PA"/>
        </w:rPr>
        <w:t xml:space="preserve"> indicadas en</w:t>
      </w:r>
      <w:r w:rsidR="00BE337F" w:rsidRPr="00BE337F">
        <w:rPr>
          <w:rFonts w:ascii="Arial" w:hAnsi="Arial" w:cs="Arial"/>
          <w:lang w:val="es-PA"/>
        </w:rPr>
        <w:t xml:space="preserve"> la Resolución General de Junta Directiva </w:t>
      </w:r>
      <w:r w:rsidR="00BE337F" w:rsidRPr="00BE337F">
        <w:rPr>
          <w:rFonts w:ascii="Arial" w:hAnsi="Arial" w:cs="Arial"/>
          <w:bdr w:val="none" w:sz="0" w:space="0" w:color="auto" w:frame="1"/>
          <w:shd w:val="clear" w:color="auto" w:fill="FFFFFF"/>
          <w:lang w:val="es-PA"/>
        </w:rPr>
        <w:t>SBP-GJD-0003-2021</w:t>
      </w:r>
      <w:r w:rsidR="00BE337F">
        <w:rPr>
          <w:rFonts w:ascii="Arial" w:hAnsi="Arial" w:cs="Arial"/>
          <w:bdr w:val="none" w:sz="0" w:space="0" w:color="auto" w:frame="1"/>
          <w:shd w:val="clear" w:color="auto" w:fill="FFFFFF"/>
          <w:lang w:val="es-PA"/>
        </w:rPr>
        <w:t xml:space="preserve"> y </w:t>
      </w:r>
      <w:r w:rsidR="00F42270">
        <w:rPr>
          <w:rFonts w:ascii="Arial" w:hAnsi="Arial" w:cs="Arial"/>
          <w:lang w:val="es-PA"/>
        </w:rPr>
        <w:t>según la etapa de riesgo de la NIIF 9</w:t>
      </w:r>
      <w:r w:rsidR="00BB3688">
        <w:rPr>
          <w:rFonts w:ascii="Arial" w:hAnsi="Arial" w:cs="Arial"/>
          <w:lang w:val="es-PA"/>
        </w:rPr>
        <w:t>:</w:t>
      </w:r>
    </w:p>
    <w:p w14:paraId="0E783158" w14:textId="3409B8C3" w:rsidR="00E024EE" w:rsidRDefault="00E024EE" w:rsidP="00342F4A">
      <w:pPr>
        <w:spacing w:after="0" w:line="276" w:lineRule="auto"/>
        <w:rPr>
          <w:rFonts w:ascii="Arial" w:hAnsi="Arial" w:cs="Arial"/>
          <w:lang w:val="es-PA"/>
        </w:rPr>
      </w:pPr>
    </w:p>
    <w:tbl>
      <w:tblPr>
        <w:tblW w:w="9600" w:type="dxa"/>
        <w:tblLook w:val="04A0" w:firstRow="1" w:lastRow="0" w:firstColumn="1" w:lastColumn="0" w:noHBand="0" w:noVBand="1"/>
      </w:tblPr>
      <w:tblGrid>
        <w:gridCol w:w="5780"/>
        <w:gridCol w:w="940"/>
        <w:gridCol w:w="960"/>
        <w:gridCol w:w="960"/>
        <w:gridCol w:w="960"/>
      </w:tblGrid>
      <w:tr w:rsidR="001118F5" w:rsidRPr="001118F5" w14:paraId="1CC2CE6E" w14:textId="77777777" w:rsidTr="001118F5">
        <w:trPr>
          <w:trHeight w:val="290"/>
        </w:trPr>
        <w:tc>
          <w:tcPr>
            <w:tcW w:w="5780" w:type="dxa"/>
            <w:tcBorders>
              <w:top w:val="nil"/>
              <w:left w:val="nil"/>
              <w:bottom w:val="nil"/>
              <w:right w:val="nil"/>
            </w:tcBorders>
            <w:shd w:val="clear" w:color="auto" w:fill="auto"/>
            <w:noWrap/>
            <w:vAlign w:val="bottom"/>
            <w:hideMark/>
          </w:tcPr>
          <w:p w14:paraId="7D475445" w14:textId="77777777" w:rsidR="001118F5" w:rsidRPr="001118F5" w:rsidRDefault="001118F5" w:rsidP="001118F5">
            <w:pPr>
              <w:spacing w:after="0" w:line="240" w:lineRule="auto"/>
              <w:rPr>
                <w:rFonts w:ascii="Times New Roman" w:eastAsia="Times New Roman" w:hAnsi="Times New Roman" w:cs="Times New Roman"/>
                <w:sz w:val="24"/>
                <w:szCs w:val="24"/>
                <w:lang w:val="es-PA"/>
              </w:rPr>
            </w:pPr>
          </w:p>
        </w:tc>
        <w:tc>
          <w:tcPr>
            <w:tcW w:w="940" w:type="dxa"/>
            <w:tcBorders>
              <w:top w:val="nil"/>
              <w:left w:val="nil"/>
              <w:bottom w:val="nil"/>
              <w:right w:val="nil"/>
            </w:tcBorders>
            <w:shd w:val="clear" w:color="auto" w:fill="auto"/>
            <w:noWrap/>
            <w:vAlign w:val="bottom"/>
            <w:hideMark/>
          </w:tcPr>
          <w:p w14:paraId="3478D294" w14:textId="77777777" w:rsidR="001118F5" w:rsidRPr="001118F5" w:rsidRDefault="001118F5" w:rsidP="001118F5">
            <w:pPr>
              <w:spacing w:after="0" w:line="240" w:lineRule="auto"/>
              <w:jc w:val="center"/>
              <w:rPr>
                <w:rFonts w:ascii="Arial" w:eastAsia="Times New Roman" w:hAnsi="Arial" w:cs="Arial"/>
                <w:b/>
                <w:bCs/>
                <w:color w:val="000000"/>
              </w:rPr>
            </w:pPr>
            <w:r w:rsidRPr="001118F5">
              <w:rPr>
                <w:rFonts w:ascii="Arial" w:eastAsia="Times New Roman" w:hAnsi="Arial" w:cs="Arial"/>
                <w:b/>
                <w:bCs/>
                <w:color w:val="000000"/>
              </w:rPr>
              <w:t>Etapa 1</w:t>
            </w:r>
          </w:p>
        </w:tc>
        <w:tc>
          <w:tcPr>
            <w:tcW w:w="960" w:type="dxa"/>
            <w:tcBorders>
              <w:top w:val="nil"/>
              <w:left w:val="nil"/>
              <w:bottom w:val="nil"/>
              <w:right w:val="nil"/>
            </w:tcBorders>
            <w:shd w:val="clear" w:color="auto" w:fill="auto"/>
            <w:noWrap/>
            <w:vAlign w:val="bottom"/>
            <w:hideMark/>
          </w:tcPr>
          <w:p w14:paraId="1A3346D1" w14:textId="77777777" w:rsidR="001118F5" w:rsidRPr="001118F5" w:rsidRDefault="001118F5" w:rsidP="001118F5">
            <w:pPr>
              <w:spacing w:after="0" w:line="240" w:lineRule="auto"/>
              <w:jc w:val="center"/>
              <w:rPr>
                <w:rFonts w:ascii="Arial" w:eastAsia="Times New Roman" w:hAnsi="Arial" w:cs="Arial"/>
                <w:b/>
                <w:bCs/>
                <w:color w:val="000000"/>
              </w:rPr>
            </w:pPr>
            <w:r w:rsidRPr="001118F5">
              <w:rPr>
                <w:rFonts w:ascii="Arial" w:eastAsia="Times New Roman" w:hAnsi="Arial" w:cs="Arial"/>
                <w:b/>
                <w:bCs/>
                <w:color w:val="000000"/>
              </w:rPr>
              <w:t>Etapa 2</w:t>
            </w:r>
          </w:p>
        </w:tc>
        <w:tc>
          <w:tcPr>
            <w:tcW w:w="960" w:type="dxa"/>
            <w:tcBorders>
              <w:top w:val="nil"/>
              <w:left w:val="nil"/>
              <w:bottom w:val="nil"/>
              <w:right w:val="nil"/>
            </w:tcBorders>
            <w:shd w:val="clear" w:color="auto" w:fill="auto"/>
            <w:noWrap/>
            <w:vAlign w:val="bottom"/>
            <w:hideMark/>
          </w:tcPr>
          <w:p w14:paraId="3C308B9B" w14:textId="77777777" w:rsidR="001118F5" w:rsidRPr="001118F5" w:rsidRDefault="001118F5" w:rsidP="001118F5">
            <w:pPr>
              <w:spacing w:after="0" w:line="240" w:lineRule="auto"/>
              <w:jc w:val="center"/>
              <w:rPr>
                <w:rFonts w:ascii="Arial" w:eastAsia="Times New Roman" w:hAnsi="Arial" w:cs="Arial"/>
                <w:b/>
                <w:bCs/>
                <w:color w:val="000000"/>
              </w:rPr>
            </w:pPr>
            <w:r w:rsidRPr="001118F5">
              <w:rPr>
                <w:rFonts w:ascii="Arial" w:eastAsia="Times New Roman" w:hAnsi="Arial" w:cs="Arial"/>
                <w:b/>
                <w:bCs/>
                <w:color w:val="000000"/>
              </w:rPr>
              <w:t>Etapa 3</w:t>
            </w:r>
          </w:p>
        </w:tc>
        <w:tc>
          <w:tcPr>
            <w:tcW w:w="960" w:type="dxa"/>
            <w:tcBorders>
              <w:top w:val="nil"/>
              <w:left w:val="nil"/>
              <w:bottom w:val="nil"/>
              <w:right w:val="nil"/>
            </w:tcBorders>
            <w:shd w:val="clear" w:color="auto" w:fill="auto"/>
            <w:noWrap/>
            <w:vAlign w:val="bottom"/>
            <w:hideMark/>
          </w:tcPr>
          <w:p w14:paraId="2D687E52" w14:textId="77777777" w:rsidR="001118F5" w:rsidRPr="001118F5" w:rsidRDefault="001118F5" w:rsidP="001118F5">
            <w:pPr>
              <w:spacing w:after="0" w:line="240" w:lineRule="auto"/>
              <w:jc w:val="center"/>
              <w:rPr>
                <w:rFonts w:ascii="Arial" w:eastAsia="Times New Roman" w:hAnsi="Arial" w:cs="Arial"/>
                <w:b/>
                <w:bCs/>
                <w:color w:val="000000"/>
              </w:rPr>
            </w:pPr>
            <w:r w:rsidRPr="001118F5">
              <w:rPr>
                <w:rFonts w:ascii="Arial" w:eastAsia="Times New Roman" w:hAnsi="Arial" w:cs="Arial"/>
                <w:b/>
                <w:bCs/>
                <w:color w:val="000000"/>
              </w:rPr>
              <w:t>Total</w:t>
            </w:r>
          </w:p>
        </w:tc>
      </w:tr>
      <w:tr w:rsidR="001118F5" w:rsidRPr="001118F5" w14:paraId="057FD14F" w14:textId="77777777" w:rsidTr="001118F5">
        <w:trPr>
          <w:trHeight w:val="290"/>
        </w:trPr>
        <w:tc>
          <w:tcPr>
            <w:tcW w:w="5780" w:type="dxa"/>
            <w:tcBorders>
              <w:top w:val="nil"/>
              <w:left w:val="nil"/>
              <w:bottom w:val="nil"/>
              <w:right w:val="nil"/>
            </w:tcBorders>
            <w:shd w:val="clear" w:color="auto" w:fill="auto"/>
            <w:noWrap/>
            <w:vAlign w:val="bottom"/>
            <w:hideMark/>
          </w:tcPr>
          <w:p w14:paraId="7876261A" w14:textId="77777777" w:rsidR="001118F5" w:rsidRPr="001118F5" w:rsidRDefault="001118F5" w:rsidP="001118F5">
            <w:pPr>
              <w:spacing w:after="0" w:line="240" w:lineRule="auto"/>
              <w:jc w:val="center"/>
              <w:rPr>
                <w:rFonts w:ascii="Arial" w:eastAsia="Times New Roman" w:hAnsi="Arial" w:cs="Arial"/>
                <w:b/>
                <w:bCs/>
                <w:color w:val="000000"/>
              </w:rPr>
            </w:pPr>
          </w:p>
        </w:tc>
        <w:tc>
          <w:tcPr>
            <w:tcW w:w="940" w:type="dxa"/>
            <w:tcBorders>
              <w:top w:val="nil"/>
              <w:left w:val="nil"/>
              <w:bottom w:val="nil"/>
              <w:right w:val="nil"/>
            </w:tcBorders>
            <w:shd w:val="clear" w:color="auto" w:fill="auto"/>
            <w:noWrap/>
            <w:vAlign w:val="bottom"/>
            <w:hideMark/>
          </w:tcPr>
          <w:p w14:paraId="67A0B2F9" w14:textId="77777777" w:rsidR="001118F5" w:rsidRPr="001118F5" w:rsidRDefault="001118F5" w:rsidP="001118F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AFEDA4B" w14:textId="77777777" w:rsidR="001118F5" w:rsidRPr="001118F5" w:rsidRDefault="001118F5" w:rsidP="001118F5">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E092EF0" w14:textId="77777777" w:rsidR="001118F5" w:rsidRPr="001118F5" w:rsidRDefault="001118F5" w:rsidP="001118F5">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15A6FCE" w14:textId="77777777" w:rsidR="001118F5" w:rsidRPr="001118F5" w:rsidRDefault="001118F5" w:rsidP="001118F5">
            <w:pPr>
              <w:spacing w:after="0" w:line="240" w:lineRule="auto"/>
              <w:jc w:val="center"/>
              <w:rPr>
                <w:rFonts w:ascii="Times New Roman" w:eastAsia="Times New Roman" w:hAnsi="Times New Roman" w:cs="Times New Roman"/>
                <w:sz w:val="20"/>
                <w:szCs w:val="20"/>
              </w:rPr>
            </w:pPr>
          </w:p>
        </w:tc>
      </w:tr>
      <w:tr w:rsidR="001118F5" w:rsidRPr="00601472" w14:paraId="705A78FB" w14:textId="77777777" w:rsidTr="001118F5">
        <w:trPr>
          <w:trHeight w:val="290"/>
        </w:trPr>
        <w:tc>
          <w:tcPr>
            <w:tcW w:w="5780" w:type="dxa"/>
            <w:tcBorders>
              <w:top w:val="nil"/>
              <w:left w:val="nil"/>
              <w:bottom w:val="nil"/>
              <w:right w:val="nil"/>
            </w:tcBorders>
            <w:shd w:val="clear" w:color="auto" w:fill="auto"/>
            <w:vAlign w:val="center"/>
            <w:hideMark/>
          </w:tcPr>
          <w:p w14:paraId="138D8245" w14:textId="77777777" w:rsidR="001118F5" w:rsidRPr="001118F5" w:rsidRDefault="001118F5" w:rsidP="001118F5">
            <w:pPr>
              <w:spacing w:after="0" w:line="240" w:lineRule="auto"/>
              <w:rPr>
                <w:rFonts w:ascii="Arial" w:eastAsia="Times New Roman" w:hAnsi="Arial" w:cs="Arial"/>
                <w:color w:val="000000"/>
                <w:lang w:val="es-PA"/>
              </w:rPr>
            </w:pPr>
            <w:r w:rsidRPr="001118F5">
              <w:rPr>
                <w:rFonts w:ascii="Arial" w:eastAsia="Times New Roman" w:hAnsi="Arial" w:cs="Arial"/>
                <w:color w:val="000000"/>
                <w:lang w:val="es-PA"/>
              </w:rPr>
              <w:t>Préstamos categoría mención especial modificado</w:t>
            </w:r>
          </w:p>
        </w:tc>
        <w:tc>
          <w:tcPr>
            <w:tcW w:w="940" w:type="dxa"/>
            <w:tcBorders>
              <w:top w:val="nil"/>
              <w:left w:val="nil"/>
              <w:bottom w:val="nil"/>
              <w:right w:val="nil"/>
            </w:tcBorders>
            <w:shd w:val="clear" w:color="auto" w:fill="auto"/>
            <w:noWrap/>
            <w:vAlign w:val="bottom"/>
            <w:hideMark/>
          </w:tcPr>
          <w:p w14:paraId="36CB4361" w14:textId="77777777" w:rsidR="001118F5" w:rsidRPr="001118F5" w:rsidRDefault="001118F5" w:rsidP="001118F5">
            <w:pPr>
              <w:spacing w:after="0" w:line="240" w:lineRule="auto"/>
              <w:rPr>
                <w:rFonts w:ascii="Arial" w:eastAsia="Times New Roman" w:hAnsi="Arial" w:cs="Arial"/>
                <w:color w:val="000000"/>
                <w:lang w:val="es-PA"/>
              </w:rPr>
            </w:pPr>
          </w:p>
        </w:tc>
        <w:tc>
          <w:tcPr>
            <w:tcW w:w="960" w:type="dxa"/>
            <w:tcBorders>
              <w:top w:val="nil"/>
              <w:left w:val="nil"/>
              <w:bottom w:val="nil"/>
              <w:right w:val="nil"/>
            </w:tcBorders>
            <w:shd w:val="clear" w:color="auto" w:fill="auto"/>
            <w:noWrap/>
            <w:vAlign w:val="bottom"/>
            <w:hideMark/>
          </w:tcPr>
          <w:p w14:paraId="2EE49E30" w14:textId="77777777" w:rsidR="001118F5" w:rsidRPr="001118F5" w:rsidRDefault="001118F5" w:rsidP="001118F5">
            <w:pPr>
              <w:spacing w:after="0" w:line="240" w:lineRule="auto"/>
              <w:rPr>
                <w:rFonts w:ascii="Times New Roman" w:eastAsia="Times New Roman" w:hAnsi="Times New Roman" w:cs="Times New Roman"/>
                <w:sz w:val="20"/>
                <w:szCs w:val="20"/>
                <w:lang w:val="es-PA"/>
              </w:rPr>
            </w:pPr>
          </w:p>
        </w:tc>
        <w:tc>
          <w:tcPr>
            <w:tcW w:w="960" w:type="dxa"/>
            <w:tcBorders>
              <w:top w:val="nil"/>
              <w:left w:val="nil"/>
              <w:bottom w:val="nil"/>
              <w:right w:val="nil"/>
            </w:tcBorders>
            <w:shd w:val="clear" w:color="auto" w:fill="auto"/>
            <w:noWrap/>
            <w:vAlign w:val="bottom"/>
            <w:hideMark/>
          </w:tcPr>
          <w:p w14:paraId="13955B1A" w14:textId="77777777" w:rsidR="001118F5" w:rsidRPr="001118F5" w:rsidRDefault="001118F5" w:rsidP="001118F5">
            <w:pPr>
              <w:spacing w:after="0" w:line="240" w:lineRule="auto"/>
              <w:rPr>
                <w:rFonts w:ascii="Times New Roman" w:eastAsia="Times New Roman" w:hAnsi="Times New Roman" w:cs="Times New Roman"/>
                <w:sz w:val="20"/>
                <w:szCs w:val="20"/>
                <w:lang w:val="es-PA"/>
              </w:rPr>
            </w:pPr>
          </w:p>
        </w:tc>
        <w:tc>
          <w:tcPr>
            <w:tcW w:w="960" w:type="dxa"/>
            <w:tcBorders>
              <w:top w:val="nil"/>
              <w:left w:val="nil"/>
              <w:bottom w:val="nil"/>
              <w:right w:val="nil"/>
            </w:tcBorders>
            <w:shd w:val="clear" w:color="auto" w:fill="auto"/>
            <w:noWrap/>
            <w:vAlign w:val="bottom"/>
            <w:hideMark/>
          </w:tcPr>
          <w:p w14:paraId="63D4A8BE" w14:textId="77777777" w:rsidR="001118F5" w:rsidRPr="001118F5" w:rsidRDefault="001118F5" w:rsidP="001118F5">
            <w:pPr>
              <w:spacing w:after="0" w:line="240" w:lineRule="auto"/>
              <w:rPr>
                <w:rFonts w:ascii="Times New Roman" w:eastAsia="Times New Roman" w:hAnsi="Times New Roman" w:cs="Times New Roman"/>
                <w:sz w:val="20"/>
                <w:szCs w:val="20"/>
                <w:lang w:val="es-PA"/>
              </w:rPr>
            </w:pPr>
          </w:p>
        </w:tc>
      </w:tr>
      <w:tr w:rsidR="001118F5" w:rsidRPr="001118F5" w14:paraId="25E035EC" w14:textId="77777777" w:rsidTr="001118F5">
        <w:trPr>
          <w:trHeight w:val="290"/>
        </w:trPr>
        <w:tc>
          <w:tcPr>
            <w:tcW w:w="5780" w:type="dxa"/>
            <w:tcBorders>
              <w:top w:val="nil"/>
              <w:left w:val="nil"/>
              <w:bottom w:val="nil"/>
              <w:right w:val="nil"/>
            </w:tcBorders>
            <w:shd w:val="clear" w:color="auto" w:fill="auto"/>
            <w:noWrap/>
            <w:vAlign w:val="bottom"/>
            <w:hideMark/>
          </w:tcPr>
          <w:p w14:paraId="59E02DF7" w14:textId="77777777" w:rsidR="001118F5" w:rsidRPr="001118F5" w:rsidRDefault="001118F5" w:rsidP="001118F5">
            <w:pPr>
              <w:spacing w:after="0" w:line="240" w:lineRule="auto"/>
              <w:rPr>
                <w:rFonts w:ascii="Arial" w:eastAsia="Times New Roman" w:hAnsi="Arial" w:cs="Arial"/>
                <w:color w:val="000000"/>
              </w:rPr>
            </w:pPr>
            <w:r w:rsidRPr="001118F5">
              <w:rPr>
                <w:rFonts w:ascii="Arial" w:eastAsia="Times New Roman" w:hAnsi="Arial" w:cs="Arial"/>
                <w:color w:val="000000"/>
                <w:lang w:val="es-PA"/>
              </w:rPr>
              <w:t xml:space="preserve">  </w:t>
            </w:r>
            <w:r w:rsidRPr="001118F5">
              <w:rPr>
                <w:rFonts w:ascii="Arial" w:eastAsia="Times New Roman" w:hAnsi="Arial" w:cs="Arial"/>
                <w:color w:val="000000"/>
              </w:rPr>
              <w:t>Modificado normal</w:t>
            </w:r>
          </w:p>
        </w:tc>
        <w:tc>
          <w:tcPr>
            <w:tcW w:w="940" w:type="dxa"/>
            <w:tcBorders>
              <w:top w:val="nil"/>
              <w:left w:val="nil"/>
              <w:bottom w:val="nil"/>
              <w:right w:val="nil"/>
            </w:tcBorders>
            <w:shd w:val="clear" w:color="auto" w:fill="auto"/>
            <w:noWrap/>
            <w:vAlign w:val="bottom"/>
            <w:hideMark/>
          </w:tcPr>
          <w:p w14:paraId="08505572" w14:textId="77777777" w:rsidR="001118F5" w:rsidRPr="001118F5" w:rsidRDefault="001118F5" w:rsidP="001118F5">
            <w:pPr>
              <w:spacing w:after="0" w:line="240" w:lineRule="auto"/>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0CEA9B6F" w14:textId="77777777" w:rsidR="001118F5" w:rsidRPr="001118F5" w:rsidRDefault="001118F5" w:rsidP="001118F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F599A76" w14:textId="77777777" w:rsidR="001118F5" w:rsidRPr="001118F5" w:rsidRDefault="001118F5" w:rsidP="001118F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B876FFE" w14:textId="77777777" w:rsidR="001118F5" w:rsidRPr="001118F5" w:rsidRDefault="001118F5" w:rsidP="001118F5">
            <w:pPr>
              <w:spacing w:after="0" w:line="240" w:lineRule="auto"/>
              <w:rPr>
                <w:rFonts w:ascii="Times New Roman" w:eastAsia="Times New Roman" w:hAnsi="Times New Roman" w:cs="Times New Roman"/>
                <w:sz w:val="20"/>
                <w:szCs w:val="20"/>
              </w:rPr>
            </w:pPr>
          </w:p>
        </w:tc>
      </w:tr>
      <w:tr w:rsidR="001118F5" w:rsidRPr="001118F5" w14:paraId="44A98140" w14:textId="77777777" w:rsidTr="001118F5">
        <w:trPr>
          <w:trHeight w:val="290"/>
        </w:trPr>
        <w:tc>
          <w:tcPr>
            <w:tcW w:w="5780" w:type="dxa"/>
            <w:tcBorders>
              <w:top w:val="nil"/>
              <w:left w:val="nil"/>
              <w:bottom w:val="nil"/>
              <w:right w:val="nil"/>
            </w:tcBorders>
            <w:shd w:val="clear" w:color="auto" w:fill="auto"/>
            <w:noWrap/>
            <w:vAlign w:val="bottom"/>
            <w:hideMark/>
          </w:tcPr>
          <w:p w14:paraId="25815FA0" w14:textId="77777777" w:rsidR="001118F5" w:rsidRPr="001118F5" w:rsidRDefault="001118F5" w:rsidP="001118F5">
            <w:pPr>
              <w:spacing w:after="0" w:line="240" w:lineRule="auto"/>
              <w:rPr>
                <w:rFonts w:ascii="Arial" w:eastAsia="Times New Roman" w:hAnsi="Arial" w:cs="Arial"/>
                <w:color w:val="000000"/>
              </w:rPr>
            </w:pPr>
            <w:r w:rsidRPr="001118F5">
              <w:rPr>
                <w:rFonts w:ascii="Arial" w:eastAsia="Times New Roman" w:hAnsi="Arial" w:cs="Arial"/>
                <w:color w:val="000000"/>
              </w:rPr>
              <w:t xml:space="preserve">  Modificado mención especial</w:t>
            </w:r>
          </w:p>
        </w:tc>
        <w:tc>
          <w:tcPr>
            <w:tcW w:w="940" w:type="dxa"/>
            <w:tcBorders>
              <w:top w:val="nil"/>
              <w:left w:val="nil"/>
              <w:bottom w:val="nil"/>
              <w:right w:val="nil"/>
            </w:tcBorders>
            <w:shd w:val="clear" w:color="auto" w:fill="auto"/>
            <w:noWrap/>
            <w:vAlign w:val="bottom"/>
            <w:hideMark/>
          </w:tcPr>
          <w:p w14:paraId="6F3E3C23" w14:textId="77777777" w:rsidR="001118F5" w:rsidRPr="001118F5" w:rsidRDefault="001118F5" w:rsidP="001118F5">
            <w:pPr>
              <w:spacing w:after="0" w:line="240" w:lineRule="auto"/>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419601B4" w14:textId="77777777" w:rsidR="001118F5" w:rsidRPr="001118F5" w:rsidRDefault="001118F5" w:rsidP="001118F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2CC1AF3" w14:textId="77777777" w:rsidR="001118F5" w:rsidRPr="001118F5" w:rsidRDefault="001118F5" w:rsidP="001118F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B32BDD5" w14:textId="77777777" w:rsidR="001118F5" w:rsidRPr="001118F5" w:rsidRDefault="001118F5" w:rsidP="001118F5">
            <w:pPr>
              <w:spacing w:after="0" w:line="240" w:lineRule="auto"/>
              <w:rPr>
                <w:rFonts w:ascii="Times New Roman" w:eastAsia="Times New Roman" w:hAnsi="Times New Roman" w:cs="Times New Roman"/>
                <w:sz w:val="20"/>
                <w:szCs w:val="20"/>
              </w:rPr>
            </w:pPr>
          </w:p>
        </w:tc>
      </w:tr>
      <w:tr w:rsidR="001118F5" w:rsidRPr="001118F5" w14:paraId="0B9AF2F3" w14:textId="77777777" w:rsidTr="001118F5">
        <w:trPr>
          <w:trHeight w:val="290"/>
        </w:trPr>
        <w:tc>
          <w:tcPr>
            <w:tcW w:w="5780" w:type="dxa"/>
            <w:tcBorders>
              <w:top w:val="nil"/>
              <w:left w:val="nil"/>
              <w:bottom w:val="nil"/>
              <w:right w:val="nil"/>
            </w:tcBorders>
            <w:shd w:val="clear" w:color="auto" w:fill="auto"/>
            <w:noWrap/>
            <w:vAlign w:val="bottom"/>
            <w:hideMark/>
          </w:tcPr>
          <w:p w14:paraId="35D04B2B" w14:textId="77777777" w:rsidR="001118F5" w:rsidRPr="001118F5" w:rsidRDefault="001118F5" w:rsidP="001118F5">
            <w:pPr>
              <w:spacing w:after="0" w:line="240" w:lineRule="auto"/>
              <w:rPr>
                <w:rFonts w:ascii="Arial" w:eastAsia="Times New Roman" w:hAnsi="Arial" w:cs="Arial"/>
                <w:color w:val="000000"/>
              </w:rPr>
            </w:pPr>
            <w:r w:rsidRPr="001118F5">
              <w:rPr>
                <w:rFonts w:ascii="Arial" w:eastAsia="Times New Roman" w:hAnsi="Arial" w:cs="Arial"/>
                <w:color w:val="000000"/>
              </w:rPr>
              <w:t xml:space="preserve">  Modificado subnormal</w:t>
            </w:r>
          </w:p>
        </w:tc>
        <w:tc>
          <w:tcPr>
            <w:tcW w:w="940" w:type="dxa"/>
            <w:tcBorders>
              <w:top w:val="nil"/>
              <w:left w:val="nil"/>
              <w:bottom w:val="nil"/>
              <w:right w:val="nil"/>
            </w:tcBorders>
            <w:shd w:val="clear" w:color="auto" w:fill="auto"/>
            <w:noWrap/>
            <w:vAlign w:val="bottom"/>
            <w:hideMark/>
          </w:tcPr>
          <w:p w14:paraId="12E07F13" w14:textId="77777777" w:rsidR="001118F5" w:rsidRPr="001118F5" w:rsidRDefault="001118F5" w:rsidP="001118F5">
            <w:pPr>
              <w:spacing w:after="0" w:line="240" w:lineRule="auto"/>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4977B632" w14:textId="77777777" w:rsidR="001118F5" w:rsidRPr="001118F5" w:rsidRDefault="001118F5" w:rsidP="001118F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0958225" w14:textId="77777777" w:rsidR="001118F5" w:rsidRPr="001118F5" w:rsidRDefault="001118F5" w:rsidP="001118F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2AE8115" w14:textId="77777777" w:rsidR="001118F5" w:rsidRPr="001118F5" w:rsidRDefault="001118F5" w:rsidP="001118F5">
            <w:pPr>
              <w:spacing w:after="0" w:line="240" w:lineRule="auto"/>
              <w:rPr>
                <w:rFonts w:ascii="Times New Roman" w:eastAsia="Times New Roman" w:hAnsi="Times New Roman" w:cs="Times New Roman"/>
                <w:sz w:val="20"/>
                <w:szCs w:val="20"/>
              </w:rPr>
            </w:pPr>
          </w:p>
        </w:tc>
      </w:tr>
      <w:tr w:rsidR="001118F5" w:rsidRPr="001118F5" w14:paraId="07BD3E4E" w14:textId="77777777" w:rsidTr="001118F5">
        <w:trPr>
          <w:trHeight w:val="290"/>
        </w:trPr>
        <w:tc>
          <w:tcPr>
            <w:tcW w:w="5780" w:type="dxa"/>
            <w:tcBorders>
              <w:top w:val="nil"/>
              <w:left w:val="nil"/>
              <w:bottom w:val="nil"/>
              <w:right w:val="nil"/>
            </w:tcBorders>
            <w:shd w:val="clear" w:color="auto" w:fill="auto"/>
            <w:noWrap/>
            <w:vAlign w:val="bottom"/>
            <w:hideMark/>
          </w:tcPr>
          <w:p w14:paraId="52671278" w14:textId="77777777" w:rsidR="001118F5" w:rsidRPr="001118F5" w:rsidRDefault="001118F5" w:rsidP="001118F5">
            <w:pPr>
              <w:spacing w:after="0" w:line="240" w:lineRule="auto"/>
              <w:rPr>
                <w:rFonts w:ascii="Arial" w:eastAsia="Times New Roman" w:hAnsi="Arial" w:cs="Arial"/>
                <w:color w:val="000000"/>
              </w:rPr>
            </w:pPr>
            <w:r w:rsidRPr="001118F5">
              <w:rPr>
                <w:rFonts w:ascii="Arial" w:eastAsia="Times New Roman" w:hAnsi="Arial" w:cs="Arial"/>
                <w:color w:val="000000"/>
              </w:rPr>
              <w:t xml:space="preserve">  Modificado dudoso </w:t>
            </w:r>
          </w:p>
        </w:tc>
        <w:tc>
          <w:tcPr>
            <w:tcW w:w="940" w:type="dxa"/>
            <w:tcBorders>
              <w:top w:val="nil"/>
              <w:left w:val="nil"/>
              <w:bottom w:val="nil"/>
              <w:right w:val="nil"/>
            </w:tcBorders>
            <w:shd w:val="clear" w:color="auto" w:fill="auto"/>
            <w:noWrap/>
            <w:vAlign w:val="bottom"/>
            <w:hideMark/>
          </w:tcPr>
          <w:p w14:paraId="573C564A" w14:textId="77777777" w:rsidR="001118F5" w:rsidRPr="001118F5" w:rsidRDefault="001118F5" w:rsidP="001118F5">
            <w:pPr>
              <w:spacing w:after="0" w:line="240" w:lineRule="auto"/>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40C746C6" w14:textId="77777777" w:rsidR="001118F5" w:rsidRPr="001118F5" w:rsidRDefault="001118F5" w:rsidP="001118F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7F2F75E" w14:textId="77777777" w:rsidR="001118F5" w:rsidRPr="001118F5" w:rsidRDefault="001118F5" w:rsidP="001118F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F089807" w14:textId="77777777" w:rsidR="001118F5" w:rsidRPr="001118F5" w:rsidRDefault="001118F5" w:rsidP="001118F5">
            <w:pPr>
              <w:spacing w:after="0" w:line="240" w:lineRule="auto"/>
              <w:rPr>
                <w:rFonts w:ascii="Times New Roman" w:eastAsia="Times New Roman" w:hAnsi="Times New Roman" w:cs="Times New Roman"/>
                <w:sz w:val="20"/>
                <w:szCs w:val="20"/>
              </w:rPr>
            </w:pPr>
          </w:p>
        </w:tc>
      </w:tr>
      <w:tr w:rsidR="001118F5" w:rsidRPr="001118F5" w14:paraId="4E43A0F4" w14:textId="77777777" w:rsidTr="001118F5">
        <w:trPr>
          <w:trHeight w:val="290"/>
        </w:trPr>
        <w:tc>
          <w:tcPr>
            <w:tcW w:w="5780" w:type="dxa"/>
            <w:tcBorders>
              <w:top w:val="nil"/>
              <w:left w:val="nil"/>
              <w:bottom w:val="nil"/>
              <w:right w:val="nil"/>
            </w:tcBorders>
            <w:shd w:val="clear" w:color="auto" w:fill="auto"/>
            <w:noWrap/>
            <w:vAlign w:val="bottom"/>
            <w:hideMark/>
          </w:tcPr>
          <w:p w14:paraId="020BF042" w14:textId="77777777" w:rsidR="001118F5" w:rsidRPr="001118F5" w:rsidRDefault="001118F5" w:rsidP="001118F5">
            <w:pPr>
              <w:spacing w:after="0" w:line="240" w:lineRule="auto"/>
              <w:rPr>
                <w:rFonts w:ascii="Arial" w:eastAsia="Times New Roman" w:hAnsi="Arial" w:cs="Arial"/>
                <w:color w:val="000000"/>
              </w:rPr>
            </w:pPr>
            <w:r w:rsidRPr="001118F5">
              <w:rPr>
                <w:rFonts w:ascii="Arial" w:eastAsia="Times New Roman" w:hAnsi="Arial" w:cs="Arial"/>
                <w:color w:val="000000"/>
              </w:rPr>
              <w:t xml:space="preserve">  Modificado irrecuperable</w:t>
            </w:r>
          </w:p>
        </w:tc>
        <w:tc>
          <w:tcPr>
            <w:tcW w:w="940" w:type="dxa"/>
            <w:tcBorders>
              <w:top w:val="nil"/>
              <w:left w:val="nil"/>
              <w:bottom w:val="nil"/>
              <w:right w:val="nil"/>
            </w:tcBorders>
            <w:shd w:val="clear" w:color="auto" w:fill="auto"/>
            <w:noWrap/>
            <w:vAlign w:val="bottom"/>
            <w:hideMark/>
          </w:tcPr>
          <w:p w14:paraId="1F0CD71D" w14:textId="77777777" w:rsidR="001118F5" w:rsidRPr="001118F5" w:rsidRDefault="001118F5" w:rsidP="001118F5">
            <w:pPr>
              <w:spacing w:after="0" w:line="240" w:lineRule="auto"/>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4AA543C9" w14:textId="77777777" w:rsidR="001118F5" w:rsidRPr="001118F5" w:rsidRDefault="001118F5" w:rsidP="001118F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126551B" w14:textId="77777777" w:rsidR="001118F5" w:rsidRPr="001118F5" w:rsidRDefault="001118F5" w:rsidP="001118F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69BB38A" w14:textId="77777777" w:rsidR="001118F5" w:rsidRPr="001118F5" w:rsidRDefault="001118F5" w:rsidP="001118F5">
            <w:pPr>
              <w:spacing w:after="0" w:line="240" w:lineRule="auto"/>
              <w:rPr>
                <w:rFonts w:ascii="Times New Roman" w:eastAsia="Times New Roman" w:hAnsi="Times New Roman" w:cs="Times New Roman"/>
                <w:sz w:val="20"/>
                <w:szCs w:val="20"/>
              </w:rPr>
            </w:pPr>
          </w:p>
        </w:tc>
      </w:tr>
      <w:tr w:rsidR="001118F5" w:rsidRPr="00601472" w14:paraId="13CDB68B" w14:textId="77777777" w:rsidTr="001118F5">
        <w:trPr>
          <w:trHeight w:val="840"/>
        </w:trPr>
        <w:tc>
          <w:tcPr>
            <w:tcW w:w="5780" w:type="dxa"/>
            <w:tcBorders>
              <w:top w:val="nil"/>
              <w:left w:val="nil"/>
              <w:bottom w:val="nil"/>
              <w:right w:val="nil"/>
            </w:tcBorders>
            <w:shd w:val="clear" w:color="auto" w:fill="auto"/>
            <w:vAlign w:val="center"/>
            <w:hideMark/>
          </w:tcPr>
          <w:p w14:paraId="1382992B" w14:textId="13F21EB9" w:rsidR="001118F5" w:rsidRPr="001118F5" w:rsidRDefault="001118F5" w:rsidP="001118F5">
            <w:pPr>
              <w:spacing w:after="0" w:line="240" w:lineRule="auto"/>
              <w:rPr>
                <w:rFonts w:ascii="Arial" w:eastAsia="Times New Roman" w:hAnsi="Arial" w:cs="Arial"/>
                <w:color w:val="000000"/>
                <w:lang w:val="es-PA"/>
              </w:rPr>
            </w:pPr>
            <w:r w:rsidRPr="001118F5">
              <w:rPr>
                <w:rFonts w:ascii="Arial" w:eastAsia="Times New Roman" w:hAnsi="Arial" w:cs="Arial"/>
                <w:color w:val="000000"/>
                <w:lang w:val="es-PA"/>
              </w:rPr>
              <w:t>(-) Préstamos modificados garantizados con depósitos pignorados en el mismo banco hasta por el monto garantizado</w:t>
            </w:r>
          </w:p>
        </w:tc>
        <w:tc>
          <w:tcPr>
            <w:tcW w:w="940" w:type="dxa"/>
            <w:tcBorders>
              <w:top w:val="nil"/>
              <w:left w:val="nil"/>
              <w:bottom w:val="nil"/>
              <w:right w:val="nil"/>
            </w:tcBorders>
            <w:shd w:val="clear" w:color="auto" w:fill="auto"/>
            <w:noWrap/>
            <w:vAlign w:val="bottom"/>
            <w:hideMark/>
          </w:tcPr>
          <w:p w14:paraId="143AC903" w14:textId="77777777" w:rsidR="001118F5" w:rsidRPr="001118F5" w:rsidRDefault="001118F5" w:rsidP="001118F5">
            <w:pPr>
              <w:spacing w:after="0" w:line="240" w:lineRule="auto"/>
              <w:rPr>
                <w:rFonts w:ascii="Arial" w:eastAsia="Times New Roman" w:hAnsi="Arial" w:cs="Arial"/>
                <w:color w:val="000000"/>
                <w:lang w:val="es-PA"/>
              </w:rPr>
            </w:pPr>
          </w:p>
        </w:tc>
        <w:tc>
          <w:tcPr>
            <w:tcW w:w="960" w:type="dxa"/>
            <w:tcBorders>
              <w:top w:val="nil"/>
              <w:left w:val="nil"/>
              <w:bottom w:val="nil"/>
              <w:right w:val="nil"/>
            </w:tcBorders>
            <w:shd w:val="clear" w:color="auto" w:fill="auto"/>
            <w:noWrap/>
            <w:vAlign w:val="bottom"/>
            <w:hideMark/>
          </w:tcPr>
          <w:p w14:paraId="2E3E2905" w14:textId="77777777" w:rsidR="001118F5" w:rsidRPr="001118F5" w:rsidRDefault="001118F5" w:rsidP="001118F5">
            <w:pPr>
              <w:spacing w:after="0" w:line="240" w:lineRule="auto"/>
              <w:rPr>
                <w:rFonts w:ascii="Times New Roman" w:eastAsia="Times New Roman" w:hAnsi="Times New Roman" w:cs="Times New Roman"/>
                <w:sz w:val="20"/>
                <w:szCs w:val="20"/>
                <w:lang w:val="es-PA"/>
              </w:rPr>
            </w:pPr>
          </w:p>
        </w:tc>
        <w:tc>
          <w:tcPr>
            <w:tcW w:w="960" w:type="dxa"/>
            <w:tcBorders>
              <w:top w:val="nil"/>
              <w:left w:val="nil"/>
              <w:bottom w:val="nil"/>
              <w:right w:val="nil"/>
            </w:tcBorders>
            <w:shd w:val="clear" w:color="auto" w:fill="auto"/>
            <w:noWrap/>
            <w:vAlign w:val="bottom"/>
            <w:hideMark/>
          </w:tcPr>
          <w:p w14:paraId="21B86FBF" w14:textId="77777777" w:rsidR="001118F5" w:rsidRPr="001118F5" w:rsidRDefault="001118F5" w:rsidP="001118F5">
            <w:pPr>
              <w:spacing w:after="0" w:line="240" w:lineRule="auto"/>
              <w:rPr>
                <w:rFonts w:ascii="Times New Roman" w:eastAsia="Times New Roman" w:hAnsi="Times New Roman" w:cs="Times New Roman"/>
                <w:sz w:val="20"/>
                <w:szCs w:val="20"/>
                <w:lang w:val="es-PA"/>
              </w:rPr>
            </w:pPr>
          </w:p>
        </w:tc>
        <w:tc>
          <w:tcPr>
            <w:tcW w:w="960" w:type="dxa"/>
            <w:tcBorders>
              <w:top w:val="nil"/>
              <w:left w:val="nil"/>
              <w:bottom w:val="nil"/>
              <w:right w:val="nil"/>
            </w:tcBorders>
            <w:shd w:val="clear" w:color="auto" w:fill="auto"/>
            <w:noWrap/>
            <w:vAlign w:val="bottom"/>
            <w:hideMark/>
          </w:tcPr>
          <w:p w14:paraId="3BA3BE71" w14:textId="77777777" w:rsidR="001118F5" w:rsidRPr="001118F5" w:rsidRDefault="001118F5" w:rsidP="001118F5">
            <w:pPr>
              <w:spacing w:after="0" w:line="240" w:lineRule="auto"/>
              <w:rPr>
                <w:rFonts w:ascii="Times New Roman" w:eastAsia="Times New Roman" w:hAnsi="Times New Roman" w:cs="Times New Roman"/>
                <w:sz w:val="20"/>
                <w:szCs w:val="20"/>
                <w:lang w:val="es-PA"/>
              </w:rPr>
            </w:pPr>
          </w:p>
        </w:tc>
      </w:tr>
      <w:tr w:rsidR="001118F5" w:rsidRPr="001118F5" w14:paraId="3E218A50" w14:textId="77777777" w:rsidTr="001118F5">
        <w:trPr>
          <w:trHeight w:val="290"/>
        </w:trPr>
        <w:tc>
          <w:tcPr>
            <w:tcW w:w="5780" w:type="dxa"/>
            <w:tcBorders>
              <w:top w:val="nil"/>
              <w:left w:val="nil"/>
              <w:bottom w:val="nil"/>
              <w:right w:val="nil"/>
            </w:tcBorders>
            <w:shd w:val="clear" w:color="auto" w:fill="auto"/>
            <w:noWrap/>
            <w:vAlign w:val="center"/>
            <w:hideMark/>
          </w:tcPr>
          <w:p w14:paraId="55E09C88" w14:textId="77777777" w:rsidR="001118F5" w:rsidRPr="001118F5" w:rsidRDefault="001118F5" w:rsidP="001118F5">
            <w:pPr>
              <w:spacing w:after="0" w:line="240" w:lineRule="auto"/>
              <w:rPr>
                <w:rFonts w:ascii="Arial" w:eastAsia="Times New Roman" w:hAnsi="Arial" w:cs="Arial"/>
                <w:color w:val="000000"/>
              </w:rPr>
            </w:pPr>
            <w:r w:rsidRPr="001118F5">
              <w:rPr>
                <w:rFonts w:ascii="Arial" w:eastAsia="Times New Roman" w:hAnsi="Arial" w:cs="Arial"/>
                <w:color w:val="000000"/>
              </w:rPr>
              <w:t>(+) Intereses acumulados por cobrar</w:t>
            </w:r>
          </w:p>
        </w:tc>
        <w:tc>
          <w:tcPr>
            <w:tcW w:w="940" w:type="dxa"/>
            <w:tcBorders>
              <w:top w:val="nil"/>
              <w:left w:val="nil"/>
              <w:bottom w:val="nil"/>
              <w:right w:val="nil"/>
            </w:tcBorders>
            <w:shd w:val="clear" w:color="auto" w:fill="auto"/>
            <w:noWrap/>
            <w:vAlign w:val="bottom"/>
            <w:hideMark/>
          </w:tcPr>
          <w:p w14:paraId="24E1E36D" w14:textId="77777777" w:rsidR="001118F5" w:rsidRPr="001118F5" w:rsidRDefault="001118F5" w:rsidP="001118F5">
            <w:pPr>
              <w:spacing w:after="0" w:line="240" w:lineRule="auto"/>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08DE9428" w14:textId="77777777" w:rsidR="001118F5" w:rsidRPr="001118F5" w:rsidRDefault="001118F5" w:rsidP="001118F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DE687EA" w14:textId="77777777" w:rsidR="001118F5" w:rsidRPr="001118F5" w:rsidRDefault="001118F5" w:rsidP="001118F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FF8FD7D" w14:textId="77777777" w:rsidR="001118F5" w:rsidRPr="001118F5" w:rsidRDefault="001118F5" w:rsidP="001118F5">
            <w:pPr>
              <w:spacing w:after="0" w:line="240" w:lineRule="auto"/>
              <w:rPr>
                <w:rFonts w:ascii="Times New Roman" w:eastAsia="Times New Roman" w:hAnsi="Times New Roman" w:cs="Times New Roman"/>
                <w:sz w:val="20"/>
                <w:szCs w:val="20"/>
              </w:rPr>
            </w:pPr>
          </w:p>
        </w:tc>
      </w:tr>
      <w:tr w:rsidR="001118F5" w:rsidRPr="00601472" w14:paraId="72F9355C" w14:textId="77777777" w:rsidTr="001118F5">
        <w:trPr>
          <w:trHeight w:val="290"/>
        </w:trPr>
        <w:tc>
          <w:tcPr>
            <w:tcW w:w="5780" w:type="dxa"/>
            <w:tcBorders>
              <w:top w:val="nil"/>
              <w:left w:val="nil"/>
              <w:bottom w:val="nil"/>
              <w:right w:val="nil"/>
            </w:tcBorders>
            <w:shd w:val="clear" w:color="auto" w:fill="auto"/>
            <w:noWrap/>
            <w:vAlign w:val="center"/>
            <w:hideMark/>
          </w:tcPr>
          <w:p w14:paraId="27C3FA1A" w14:textId="77777777" w:rsidR="001118F5" w:rsidRPr="001118F5" w:rsidRDefault="001118F5" w:rsidP="001118F5">
            <w:pPr>
              <w:spacing w:after="0" w:line="240" w:lineRule="auto"/>
              <w:rPr>
                <w:rFonts w:ascii="Arial" w:eastAsia="Times New Roman" w:hAnsi="Arial" w:cs="Arial"/>
                <w:color w:val="000000"/>
                <w:lang w:val="es-PA"/>
              </w:rPr>
            </w:pPr>
            <w:r w:rsidRPr="001118F5">
              <w:rPr>
                <w:rFonts w:ascii="Arial" w:eastAsia="Times New Roman" w:hAnsi="Arial" w:cs="Arial"/>
                <w:color w:val="000000"/>
                <w:lang w:val="es-PA"/>
              </w:rPr>
              <w:t>(-) Intereses y comisiones descontadas no ganadas</w:t>
            </w:r>
          </w:p>
        </w:tc>
        <w:tc>
          <w:tcPr>
            <w:tcW w:w="940" w:type="dxa"/>
            <w:tcBorders>
              <w:top w:val="nil"/>
              <w:left w:val="nil"/>
              <w:bottom w:val="nil"/>
              <w:right w:val="nil"/>
            </w:tcBorders>
            <w:shd w:val="clear" w:color="auto" w:fill="auto"/>
            <w:noWrap/>
            <w:vAlign w:val="bottom"/>
            <w:hideMark/>
          </w:tcPr>
          <w:p w14:paraId="245E8586" w14:textId="77777777" w:rsidR="001118F5" w:rsidRPr="001118F5" w:rsidRDefault="001118F5" w:rsidP="001118F5">
            <w:pPr>
              <w:spacing w:after="0" w:line="240" w:lineRule="auto"/>
              <w:rPr>
                <w:rFonts w:ascii="Arial" w:eastAsia="Times New Roman" w:hAnsi="Arial" w:cs="Arial"/>
                <w:color w:val="000000"/>
                <w:lang w:val="es-PA"/>
              </w:rPr>
            </w:pPr>
          </w:p>
        </w:tc>
        <w:tc>
          <w:tcPr>
            <w:tcW w:w="960" w:type="dxa"/>
            <w:tcBorders>
              <w:top w:val="nil"/>
              <w:left w:val="nil"/>
              <w:bottom w:val="nil"/>
              <w:right w:val="nil"/>
            </w:tcBorders>
            <w:shd w:val="clear" w:color="auto" w:fill="auto"/>
            <w:noWrap/>
            <w:vAlign w:val="bottom"/>
            <w:hideMark/>
          </w:tcPr>
          <w:p w14:paraId="5935237F" w14:textId="77777777" w:rsidR="001118F5" w:rsidRPr="001118F5" w:rsidRDefault="001118F5" w:rsidP="001118F5">
            <w:pPr>
              <w:spacing w:after="0" w:line="240" w:lineRule="auto"/>
              <w:rPr>
                <w:rFonts w:ascii="Times New Roman" w:eastAsia="Times New Roman" w:hAnsi="Times New Roman" w:cs="Times New Roman"/>
                <w:sz w:val="20"/>
                <w:szCs w:val="20"/>
                <w:lang w:val="es-PA"/>
              </w:rPr>
            </w:pPr>
          </w:p>
        </w:tc>
        <w:tc>
          <w:tcPr>
            <w:tcW w:w="960" w:type="dxa"/>
            <w:tcBorders>
              <w:top w:val="nil"/>
              <w:left w:val="nil"/>
              <w:bottom w:val="nil"/>
              <w:right w:val="nil"/>
            </w:tcBorders>
            <w:shd w:val="clear" w:color="auto" w:fill="auto"/>
            <w:noWrap/>
            <w:vAlign w:val="bottom"/>
            <w:hideMark/>
          </w:tcPr>
          <w:p w14:paraId="669F935B" w14:textId="77777777" w:rsidR="001118F5" w:rsidRPr="001118F5" w:rsidRDefault="001118F5" w:rsidP="001118F5">
            <w:pPr>
              <w:spacing w:after="0" w:line="240" w:lineRule="auto"/>
              <w:rPr>
                <w:rFonts w:ascii="Times New Roman" w:eastAsia="Times New Roman" w:hAnsi="Times New Roman" w:cs="Times New Roman"/>
                <w:sz w:val="20"/>
                <w:szCs w:val="20"/>
                <w:lang w:val="es-PA"/>
              </w:rPr>
            </w:pPr>
          </w:p>
        </w:tc>
        <w:tc>
          <w:tcPr>
            <w:tcW w:w="960" w:type="dxa"/>
            <w:tcBorders>
              <w:top w:val="nil"/>
              <w:left w:val="nil"/>
              <w:bottom w:val="nil"/>
              <w:right w:val="nil"/>
            </w:tcBorders>
            <w:shd w:val="clear" w:color="auto" w:fill="auto"/>
            <w:noWrap/>
            <w:vAlign w:val="bottom"/>
            <w:hideMark/>
          </w:tcPr>
          <w:p w14:paraId="12E4EA32" w14:textId="77777777" w:rsidR="001118F5" w:rsidRPr="001118F5" w:rsidRDefault="001118F5" w:rsidP="001118F5">
            <w:pPr>
              <w:spacing w:after="0" w:line="240" w:lineRule="auto"/>
              <w:rPr>
                <w:rFonts w:ascii="Times New Roman" w:eastAsia="Times New Roman" w:hAnsi="Times New Roman" w:cs="Times New Roman"/>
                <w:sz w:val="20"/>
                <w:szCs w:val="20"/>
                <w:lang w:val="es-PA"/>
              </w:rPr>
            </w:pPr>
          </w:p>
        </w:tc>
      </w:tr>
      <w:tr w:rsidR="001118F5" w:rsidRPr="00601472" w14:paraId="79D06E54" w14:textId="77777777" w:rsidTr="001118F5">
        <w:trPr>
          <w:trHeight w:val="430"/>
        </w:trPr>
        <w:tc>
          <w:tcPr>
            <w:tcW w:w="5780" w:type="dxa"/>
            <w:tcBorders>
              <w:top w:val="nil"/>
              <w:left w:val="nil"/>
              <w:bottom w:val="nil"/>
              <w:right w:val="nil"/>
            </w:tcBorders>
            <w:shd w:val="clear" w:color="auto" w:fill="auto"/>
            <w:noWrap/>
            <w:vAlign w:val="center"/>
            <w:hideMark/>
          </w:tcPr>
          <w:p w14:paraId="5D810946" w14:textId="4A915980" w:rsidR="001118F5" w:rsidRPr="001118F5" w:rsidRDefault="001118F5" w:rsidP="001118F5">
            <w:pPr>
              <w:spacing w:after="0" w:line="240" w:lineRule="auto"/>
              <w:rPr>
                <w:rFonts w:ascii="Arial" w:eastAsia="Times New Roman" w:hAnsi="Arial" w:cs="Arial"/>
                <w:color w:val="000000"/>
                <w:lang w:val="es-PA"/>
              </w:rPr>
            </w:pPr>
            <w:r w:rsidRPr="001118F5">
              <w:rPr>
                <w:rFonts w:ascii="Arial" w:eastAsia="Times New Roman" w:hAnsi="Arial" w:cs="Arial"/>
                <w:color w:val="000000"/>
                <w:lang w:val="es-PA"/>
              </w:rPr>
              <w:t xml:space="preserve">Total cartera sujeta a provisiones Acuerdo No. </w:t>
            </w:r>
            <w:r w:rsidR="00CB2C76" w:rsidRPr="00CB2C76">
              <w:rPr>
                <w:rFonts w:ascii="Arial" w:eastAsia="Times New Roman" w:hAnsi="Arial" w:cs="Arial"/>
                <w:color w:val="000000"/>
                <w:lang w:val="es-PA"/>
              </w:rPr>
              <w:t>6</w:t>
            </w:r>
            <w:r w:rsidRPr="001118F5">
              <w:rPr>
                <w:rFonts w:ascii="Arial" w:eastAsia="Times New Roman" w:hAnsi="Arial" w:cs="Arial"/>
                <w:color w:val="000000"/>
                <w:lang w:val="es-PA"/>
              </w:rPr>
              <w:t>-2021</w:t>
            </w:r>
          </w:p>
        </w:tc>
        <w:tc>
          <w:tcPr>
            <w:tcW w:w="940" w:type="dxa"/>
            <w:tcBorders>
              <w:top w:val="single" w:sz="4" w:space="0" w:color="auto"/>
              <w:left w:val="nil"/>
              <w:bottom w:val="double" w:sz="6" w:space="0" w:color="auto"/>
              <w:right w:val="nil"/>
            </w:tcBorders>
            <w:shd w:val="clear" w:color="auto" w:fill="auto"/>
            <w:noWrap/>
            <w:vAlign w:val="bottom"/>
            <w:hideMark/>
          </w:tcPr>
          <w:p w14:paraId="3A4DB033" w14:textId="77777777" w:rsidR="001118F5" w:rsidRPr="001118F5" w:rsidRDefault="001118F5" w:rsidP="001118F5">
            <w:pPr>
              <w:spacing w:after="0" w:line="240" w:lineRule="auto"/>
              <w:rPr>
                <w:rFonts w:ascii="Arial" w:eastAsia="Times New Roman" w:hAnsi="Arial" w:cs="Arial"/>
                <w:color w:val="000000"/>
                <w:lang w:val="es-PA"/>
              </w:rPr>
            </w:pPr>
            <w:r w:rsidRPr="001118F5">
              <w:rPr>
                <w:rFonts w:ascii="Arial" w:eastAsia="Times New Roman" w:hAnsi="Arial" w:cs="Arial"/>
                <w:color w:val="000000"/>
                <w:lang w:val="es-PA"/>
              </w:rPr>
              <w:t> </w:t>
            </w:r>
          </w:p>
        </w:tc>
        <w:tc>
          <w:tcPr>
            <w:tcW w:w="960" w:type="dxa"/>
            <w:tcBorders>
              <w:top w:val="single" w:sz="4" w:space="0" w:color="auto"/>
              <w:left w:val="nil"/>
              <w:bottom w:val="double" w:sz="6" w:space="0" w:color="auto"/>
              <w:right w:val="nil"/>
            </w:tcBorders>
            <w:shd w:val="clear" w:color="auto" w:fill="auto"/>
            <w:noWrap/>
            <w:vAlign w:val="bottom"/>
            <w:hideMark/>
          </w:tcPr>
          <w:p w14:paraId="516D7256" w14:textId="77777777" w:rsidR="001118F5" w:rsidRPr="001118F5" w:rsidRDefault="001118F5" w:rsidP="001118F5">
            <w:pPr>
              <w:spacing w:after="0" w:line="240" w:lineRule="auto"/>
              <w:rPr>
                <w:rFonts w:ascii="Arial" w:eastAsia="Times New Roman" w:hAnsi="Arial" w:cs="Arial"/>
                <w:color w:val="000000"/>
                <w:lang w:val="es-PA"/>
              </w:rPr>
            </w:pPr>
            <w:r w:rsidRPr="001118F5">
              <w:rPr>
                <w:rFonts w:ascii="Arial" w:eastAsia="Times New Roman" w:hAnsi="Arial" w:cs="Arial"/>
                <w:color w:val="000000"/>
                <w:lang w:val="es-PA"/>
              </w:rPr>
              <w:t> </w:t>
            </w:r>
          </w:p>
        </w:tc>
        <w:tc>
          <w:tcPr>
            <w:tcW w:w="960" w:type="dxa"/>
            <w:tcBorders>
              <w:top w:val="single" w:sz="4" w:space="0" w:color="auto"/>
              <w:left w:val="nil"/>
              <w:bottom w:val="double" w:sz="6" w:space="0" w:color="auto"/>
              <w:right w:val="nil"/>
            </w:tcBorders>
            <w:shd w:val="clear" w:color="auto" w:fill="auto"/>
            <w:noWrap/>
            <w:vAlign w:val="bottom"/>
            <w:hideMark/>
          </w:tcPr>
          <w:p w14:paraId="6EC836F7" w14:textId="77777777" w:rsidR="001118F5" w:rsidRPr="001118F5" w:rsidRDefault="001118F5" w:rsidP="001118F5">
            <w:pPr>
              <w:spacing w:after="0" w:line="240" w:lineRule="auto"/>
              <w:rPr>
                <w:rFonts w:ascii="Arial" w:eastAsia="Times New Roman" w:hAnsi="Arial" w:cs="Arial"/>
                <w:color w:val="000000"/>
                <w:lang w:val="es-PA"/>
              </w:rPr>
            </w:pPr>
            <w:r w:rsidRPr="001118F5">
              <w:rPr>
                <w:rFonts w:ascii="Arial" w:eastAsia="Times New Roman" w:hAnsi="Arial" w:cs="Arial"/>
                <w:color w:val="000000"/>
                <w:lang w:val="es-PA"/>
              </w:rPr>
              <w:t> </w:t>
            </w:r>
          </w:p>
        </w:tc>
        <w:tc>
          <w:tcPr>
            <w:tcW w:w="960" w:type="dxa"/>
            <w:tcBorders>
              <w:top w:val="single" w:sz="4" w:space="0" w:color="auto"/>
              <w:left w:val="nil"/>
              <w:bottom w:val="double" w:sz="6" w:space="0" w:color="auto"/>
              <w:right w:val="nil"/>
            </w:tcBorders>
            <w:shd w:val="clear" w:color="auto" w:fill="auto"/>
            <w:noWrap/>
            <w:vAlign w:val="bottom"/>
            <w:hideMark/>
          </w:tcPr>
          <w:p w14:paraId="11F186E3" w14:textId="77777777" w:rsidR="001118F5" w:rsidRPr="001118F5" w:rsidRDefault="001118F5" w:rsidP="001118F5">
            <w:pPr>
              <w:spacing w:after="0" w:line="240" w:lineRule="auto"/>
              <w:rPr>
                <w:rFonts w:ascii="Arial" w:eastAsia="Times New Roman" w:hAnsi="Arial" w:cs="Arial"/>
                <w:color w:val="000000"/>
                <w:lang w:val="es-PA"/>
              </w:rPr>
            </w:pPr>
            <w:r w:rsidRPr="001118F5">
              <w:rPr>
                <w:rFonts w:ascii="Arial" w:eastAsia="Times New Roman" w:hAnsi="Arial" w:cs="Arial"/>
                <w:color w:val="000000"/>
                <w:lang w:val="es-PA"/>
              </w:rPr>
              <w:t> </w:t>
            </w:r>
          </w:p>
        </w:tc>
      </w:tr>
      <w:tr w:rsidR="001118F5" w:rsidRPr="00601472" w14:paraId="4C8B8CD1" w14:textId="77777777" w:rsidTr="001118F5">
        <w:trPr>
          <w:trHeight w:val="300"/>
        </w:trPr>
        <w:tc>
          <w:tcPr>
            <w:tcW w:w="5780" w:type="dxa"/>
            <w:tcBorders>
              <w:top w:val="nil"/>
              <w:left w:val="nil"/>
              <w:bottom w:val="nil"/>
              <w:right w:val="nil"/>
            </w:tcBorders>
            <w:shd w:val="clear" w:color="auto" w:fill="auto"/>
            <w:noWrap/>
            <w:vAlign w:val="bottom"/>
            <w:hideMark/>
          </w:tcPr>
          <w:p w14:paraId="4C2591BD" w14:textId="77777777" w:rsidR="001118F5" w:rsidRPr="001118F5" w:rsidRDefault="001118F5" w:rsidP="001118F5">
            <w:pPr>
              <w:spacing w:after="0" w:line="240" w:lineRule="auto"/>
              <w:rPr>
                <w:rFonts w:ascii="Arial" w:eastAsia="Times New Roman" w:hAnsi="Arial" w:cs="Arial"/>
                <w:color w:val="000000"/>
                <w:lang w:val="es-PA"/>
              </w:rPr>
            </w:pPr>
          </w:p>
        </w:tc>
        <w:tc>
          <w:tcPr>
            <w:tcW w:w="940" w:type="dxa"/>
            <w:tcBorders>
              <w:top w:val="nil"/>
              <w:left w:val="nil"/>
              <w:bottom w:val="nil"/>
              <w:right w:val="nil"/>
            </w:tcBorders>
            <w:shd w:val="clear" w:color="auto" w:fill="auto"/>
            <w:noWrap/>
            <w:vAlign w:val="bottom"/>
            <w:hideMark/>
          </w:tcPr>
          <w:p w14:paraId="5854D800" w14:textId="77777777" w:rsidR="001118F5" w:rsidRPr="001118F5" w:rsidRDefault="001118F5" w:rsidP="001118F5">
            <w:pPr>
              <w:spacing w:after="0" w:line="240" w:lineRule="auto"/>
              <w:rPr>
                <w:rFonts w:ascii="Times New Roman" w:eastAsia="Times New Roman" w:hAnsi="Times New Roman" w:cs="Times New Roman"/>
                <w:sz w:val="20"/>
                <w:szCs w:val="20"/>
                <w:lang w:val="es-PA"/>
              </w:rPr>
            </w:pPr>
          </w:p>
        </w:tc>
        <w:tc>
          <w:tcPr>
            <w:tcW w:w="960" w:type="dxa"/>
            <w:tcBorders>
              <w:top w:val="nil"/>
              <w:left w:val="nil"/>
              <w:bottom w:val="nil"/>
              <w:right w:val="nil"/>
            </w:tcBorders>
            <w:shd w:val="clear" w:color="auto" w:fill="auto"/>
            <w:noWrap/>
            <w:vAlign w:val="bottom"/>
            <w:hideMark/>
          </w:tcPr>
          <w:p w14:paraId="49EF57C2" w14:textId="77777777" w:rsidR="001118F5" w:rsidRPr="001118F5" w:rsidRDefault="001118F5" w:rsidP="001118F5">
            <w:pPr>
              <w:spacing w:after="0" w:line="240" w:lineRule="auto"/>
              <w:rPr>
                <w:rFonts w:ascii="Times New Roman" w:eastAsia="Times New Roman" w:hAnsi="Times New Roman" w:cs="Times New Roman"/>
                <w:sz w:val="20"/>
                <w:szCs w:val="20"/>
                <w:lang w:val="es-PA"/>
              </w:rPr>
            </w:pPr>
          </w:p>
        </w:tc>
        <w:tc>
          <w:tcPr>
            <w:tcW w:w="960" w:type="dxa"/>
            <w:tcBorders>
              <w:top w:val="nil"/>
              <w:left w:val="nil"/>
              <w:bottom w:val="nil"/>
              <w:right w:val="nil"/>
            </w:tcBorders>
            <w:shd w:val="clear" w:color="auto" w:fill="auto"/>
            <w:noWrap/>
            <w:vAlign w:val="bottom"/>
            <w:hideMark/>
          </w:tcPr>
          <w:p w14:paraId="7E068C8F" w14:textId="77777777" w:rsidR="001118F5" w:rsidRPr="001118F5" w:rsidRDefault="001118F5" w:rsidP="001118F5">
            <w:pPr>
              <w:spacing w:after="0" w:line="240" w:lineRule="auto"/>
              <w:rPr>
                <w:rFonts w:ascii="Times New Roman" w:eastAsia="Times New Roman" w:hAnsi="Times New Roman" w:cs="Times New Roman"/>
                <w:sz w:val="20"/>
                <w:szCs w:val="20"/>
                <w:lang w:val="es-PA"/>
              </w:rPr>
            </w:pPr>
          </w:p>
        </w:tc>
        <w:tc>
          <w:tcPr>
            <w:tcW w:w="960" w:type="dxa"/>
            <w:tcBorders>
              <w:top w:val="nil"/>
              <w:left w:val="nil"/>
              <w:bottom w:val="nil"/>
              <w:right w:val="nil"/>
            </w:tcBorders>
            <w:shd w:val="clear" w:color="auto" w:fill="auto"/>
            <w:noWrap/>
            <w:vAlign w:val="bottom"/>
            <w:hideMark/>
          </w:tcPr>
          <w:p w14:paraId="5C4B370B" w14:textId="77777777" w:rsidR="001118F5" w:rsidRPr="001118F5" w:rsidRDefault="001118F5" w:rsidP="001118F5">
            <w:pPr>
              <w:spacing w:after="0" w:line="240" w:lineRule="auto"/>
              <w:rPr>
                <w:rFonts w:ascii="Times New Roman" w:eastAsia="Times New Roman" w:hAnsi="Times New Roman" w:cs="Times New Roman"/>
                <w:sz w:val="20"/>
                <w:szCs w:val="20"/>
                <w:lang w:val="es-PA"/>
              </w:rPr>
            </w:pPr>
          </w:p>
        </w:tc>
      </w:tr>
      <w:tr w:rsidR="001118F5" w:rsidRPr="001118F5" w14:paraId="35E20C37" w14:textId="77777777" w:rsidTr="001118F5">
        <w:trPr>
          <w:trHeight w:val="290"/>
        </w:trPr>
        <w:tc>
          <w:tcPr>
            <w:tcW w:w="5780" w:type="dxa"/>
            <w:tcBorders>
              <w:top w:val="nil"/>
              <w:left w:val="nil"/>
              <w:bottom w:val="nil"/>
              <w:right w:val="nil"/>
            </w:tcBorders>
            <w:shd w:val="clear" w:color="auto" w:fill="auto"/>
            <w:noWrap/>
            <w:vAlign w:val="center"/>
            <w:hideMark/>
          </w:tcPr>
          <w:p w14:paraId="20A61661" w14:textId="77777777" w:rsidR="001118F5" w:rsidRPr="001118F5" w:rsidRDefault="001118F5" w:rsidP="001118F5">
            <w:pPr>
              <w:spacing w:after="0" w:line="240" w:lineRule="auto"/>
              <w:rPr>
                <w:rFonts w:ascii="Arial" w:eastAsia="Times New Roman" w:hAnsi="Arial" w:cs="Arial"/>
                <w:color w:val="000000"/>
              </w:rPr>
            </w:pPr>
            <w:r w:rsidRPr="001118F5">
              <w:rPr>
                <w:rFonts w:ascii="Arial" w:eastAsia="Times New Roman" w:hAnsi="Arial" w:cs="Arial"/>
                <w:color w:val="000000"/>
              </w:rPr>
              <w:t>Provisiones y reservas</w:t>
            </w:r>
          </w:p>
        </w:tc>
        <w:tc>
          <w:tcPr>
            <w:tcW w:w="940" w:type="dxa"/>
            <w:tcBorders>
              <w:top w:val="nil"/>
              <w:left w:val="nil"/>
              <w:bottom w:val="nil"/>
              <w:right w:val="nil"/>
            </w:tcBorders>
            <w:shd w:val="clear" w:color="auto" w:fill="auto"/>
            <w:noWrap/>
            <w:vAlign w:val="bottom"/>
            <w:hideMark/>
          </w:tcPr>
          <w:p w14:paraId="1EB542A9" w14:textId="77777777" w:rsidR="001118F5" w:rsidRPr="001118F5" w:rsidRDefault="001118F5" w:rsidP="001118F5">
            <w:pPr>
              <w:spacing w:after="0" w:line="240" w:lineRule="auto"/>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2ACB0272" w14:textId="77777777" w:rsidR="001118F5" w:rsidRPr="001118F5" w:rsidRDefault="001118F5" w:rsidP="001118F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92999F8" w14:textId="77777777" w:rsidR="001118F5" w:rsidRPr="001118F5" w:rsidRDefault="001118F5" w:rsidP="001118F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C048EAB" w14:textId="77777777" w:rsidR="001118F5" w:rsidRPr="001118F5" w:rsidRDefault="001118F5" w:rsidP="001118F5">
            <w:pPr>
              <w:spacing w:after="0" w:line="240" w:lineRule="auto"/>
              <w:rPr>
                <w:rFonts w:ascii="Times New Roman" w:eastAsia="Times New Roman" w:hAnsi="Times New Roman" w:cs="Times New Roman"/>
                <w:sz w:val="20"/>
                <w:szCs w:val="20"/>
              </w:rPr>
            </w:pPr>
          </w:p>
        </w:tc>
      </w:tr>
      <w:tr w:rsidR="001118F5" w:rsidRPr="001118F5" w14:paraId="649EEF8B" w14:textId="77777777" w:rsidTr="001118F5">
        <w:trPr>
          <w:trHeight w:val="290"/>
        </w:trPr>
        <w:tc>
          <w:tcPr>
            <w:tcW w:w="5780" w:type="dxa"/>
            <w:tcBorders>
              <w:top w:val="nil"/>
              <w:left w:val="nil"/>
              <w:bottom w:val="nil"/>
              <w:right w:val="nil"/>
            </w:tcBorders>
            <w:shd w:val="clear" w:color="auto" w:fill="auto"/>
            <w:noWrap/>
            <w:vAlign w:val="center"/>
            <w:hideMark/>
          </w:tcPr>
          <w:p w14:paraId="3BFB6882" w14:textId="77777777" w:rsidR="001118F5" w:rsidRPr="001118F5" w:rsidRDefault="001118F5" w:rsidP="001118F5">
            <w:pPr>
              <w:spacing w:after="0" w:line="240" w:lineRule="auto"/>
              <w:rPr>
                <w:rFonts w:ascii="Arial" w:eastAsia="Times New Roman" w:hAnsi="Arial" w:cs="Arial"/>
                <w:color w:val="000000"/>
              </w:rPr>
            </w:pPr>
            <w:r w:rsidRPr="001118F5">
              <w:rPr>
                <w:rFonts w:ascii="Arial" w:eastAsia="Times New Roman" w:hAnsi="Arial" w:cs="Arial"/>
                <w:color w:val="000000"/>
              </w:rPr>
              <w:t xml:space="preserve">  Provisión NIIF 9</w:t>
            </w:r>
          </w:p>
        </w:tc>
        <w:tc>
          <w:tcPr>
            <w:tcW w:w="940" w:type="dxa"/>
            <w:tcBorders>
              <w:top w:val="nil"/>
              <w:left w:val="nil"/>
              <w:bottom w:val="nil"/>
              <w:right w:val="nil"/>
            </w:tcBorders>
            <w:shd w:val="clear" w:color="auto" w:fill="auto"/>
            <w:noWrap/>
            <w:vAlign w:val="bottom"/>
            <w:hideMark/>
          </w:tcPr>
          <w:p w14:paraId="36E5047D" w14:textId="77777777" w:rsidR="001118F5" w:rsidRPr="001118F5" w:rsidRDefault="001118F5" w:rsidP="001118F5">
            <w:pPr>
              <w:spacing w:after="0" w:line="240" w:lineRule="auto"/>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0AEA1145" w14:textId="77777777" w:rsidR="001118F5" w:rsidRPr="001118F5" w:rsidRDefault="001118F5" w:rsidP="001118F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0A54015" w14:textId="77777777" w:rsidR="001118F5" w:rsidRPr="001118F5" w:rsidRDefault="001118F5" w:rsidP="001118F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E98526C" w14:textId="77777777" w:rsidR="001118F5" w:rsidRPr="001118F5" w:rsidRDefault="001118F5" w:rsidP="001118F5">
            <w:pPr>
              <w:spacing w:after="0" w:line="240" w:lineRule="auto"/>
              <w:rPr>
                <w:rFonts w:ascii="Times New Roman" w:eastAsia="Times New Roman" w:hAnsi="Times New Roman" w:cs="Times New Roman"/>
                <w:sz w:val="20"/>
                <w:szCs w:val="20"/>
              </w:rPr>
            </w:pPr>
          </w:p>
        </w:tc>
      </w:tr>
      <w:tr w:rsidR="001118F5" w:rsidRPr="001118F5" w14:paraId="52E792B3" w14:textId="77777777" w:rsidTr="001118F5">
        <w:trPr>
          <w:trHeight w:val="290"/>
        </w:trPr>
        <w:tc>
          <w:tcPr>
            <w:tcW w:w="5780" w:type="dxa"/>
            <w:tcBorders>
              <w:top w:val="nil"/>
              <w:left w:val="nil"/>
              <w:bottom w:val="nil"/>
              <w:right w:val="nil"/>
            </w:tcBorders>
            <w:shd w:val="clear" w:color="auto" w:fill="auto"/>
            <w:noWrap/>
            <w:vAlign w:val="center"/>
            <w:hideMark/>
          </w:tcPr>
          <w:p w14:paraId="4058A081" w14:textId="77777777" w:rsidR="001118F5" w:rsidRPr="001118F5" w:rsidRDefault="001118F5" w:rsidP="001118F5">
            <w:pPr>
              <w:spacing w:after="0" w:line="240" w:lineRule="auto"/>
              <w:rPr>
                <w:rFonts w:ascii="Arial" w:eastAsia="Times New Roman" w:hAnsi="Arial" w:cs="Arial"/>
                <w:color w:val="000000"/>
              </w:rPr>
            </w:pPr>
            <w:r w:rsidRPr="001118F5">
              <w:rPr>
                <w:rFonts w:ascii="Arial" w:eastAsia="Times New Roman" w:hAnsi="Arial" w:cs="Arial"/>
                <w:color w:val="000000"/>
              </w:rPr>
              <w:t xml:space="preserve">  Reserva regulatoria</w:t>
            </w:r>
          </w:p>
        </w:tc>
        <w:tc>
          <w:tcPr>
            <w:tcW w:w="940" w:type="dxa"/>
            <w:tcBorders>
              <w:top w:val="nil"/>
              <w:left w:val="nil"/>
              <w:bottom w:val="nil"/>
              <w:right w:val="nil"/>
            </w:tcBorders>
            <w:shd w:val="clear" w:color="auto" w:fill="auto"/>
            <w:noWrap/>
            <w:vAlign w:val="bottom"/>
            <w:hideMark/>
          </w:tcPr>
          <w:p w14:paraId="23125C1E" w14:textId="77777777" w:rsidR="001118F5" w:rsidRPr="001118F5" w:rsidRDefault="001118F5" w:rsidP="001118F5">
            <w:pPr>
              <w:spacing w:after="0" w:line="240" w:lineRule="auto"/>
              <w:rPr>
                <w:rFonts w:ascii="Arial" w:eastAsia="Times New Roman" w:hAnsi="Arial" w:cs="Arial"/>
                <w:color w:val="000000"/>
              </w:rPr>
            </w:pPr>
          </w:p>
        </w:tc>
        <w:tc>
          <w:tcPr>
            <w:tcW w:w="960" w:type="dxa"/>
            <w:tcBorders>
              <w:top w:val="nil"/>
              <w:left w:val="nil"/>
              <w:bottom w:val="nil"/>
              <w:right w:val="nil"/>
            </w:tcBorders>
            <w:shd w:val="clear" w:color="auto" w:fill="auto"/>
            <w:noWrap/>
            <w:vAlign w:val="bottom"/>
            <w:hideMark/>
          </w:tcPr>
          <w:p w14:paraId="1264A9EB" w14:textId="77777777" w:rsidR="001118F5" w:rsidRPr="001118F5" w:rsidRDefault="001118F5" w:rsidP="001118F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AD746A2" w14:textId="77777777" w:rsidR="001118F5" w:rsidRPr="001118F5" w:rsidRDefault="001118F5" w:rsidP="001118F5">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FBD7969" w14:textId="77777777" w:rsidR="001118F5" w:rsidRPr="001118F5" w:rsidRDefault="001118F5" w:rsidP="001118F5">
            <w:pPr>
              <w:spacing w:after="0" w:line="240" w:lineRule="auto"/>
              <w:rPr>
                <w:rFonts w:ascii="Times New Roman" w:eastAsia="Times New Roman" w:hAnsi="Times New Roman" w:cs="Times New Roman"/>
                <w:sz w:val="20"/>
                <w:szCs w:val="20"/>
              </w:rPr>
            </w:pPr>
          </w:p>
        </w:tc>
      </w:tr>
      <w:tr w:rsidR="001118F5" w:rsidRPr="001118F5" w14:paraId="006E3095" w14:textId="77777777" w:rsidTr="001118F5">
        <w:trPr>
          <w:trHeight w:val="300"/>
        </w:trPr>
        <w:tc>
          <w:tcPr>
            <w:tcW w:w="5780" w:type="dxa"/>
            <w:tcBorders>
              <w:top w:val="nil"/>
              <w:left w:val="nil"/>
              <w:bottom w:val="nil"/>
              <w:right w:val="nil"/>
            </w:tcBorders>
            <w:shd w:val="clear" w:color="auto" w:fill="auto"/>
            <w:noWrap/>
            <w:vAlign w:val="center"/>
            <w:hideMark/>
          </w:tcPr>
          <w:p w14:paraId="18F3CA0D" w14:textId="77777777" w:rsidR="001118F5" w:rsidRPr="001118F5" w:rsidRDefault="001118F5" w:rsidP="001118F5">
            <w:pPr>
              <w:spacing w:after="0" w:line="240" w:lineRule="auto"/>
              <w:rPr>
                <w:rFonts w:ascii="Arial" w:eastAsia="Times New Roman" w:hAnsi="Arial" w:cs="Arial"/>
                <w:color w:val="000000"/>
              </w:rPr>
            </w:pPr>
            <w:r w:rsidRPr="001118F5">
              <w:rPr>
                <w:rFonts w:ascii="Arial" w:eastAsia="Times New Roman" w:hAnsi="Arial" w:cs="Arial"/>
                <w:color w:val="000000"/>
              </w:rPr>
              <w:t xml:space="preserve">   Total provisiones y reservas</w:t>
            </w:r>
          </w:p>
        </w:tc>
        <w:tc>
          <w:tcPr>
            <w:tcW w:w="940" w:type="dxa"/>
            <w:tcBorders>
              <w:top w:val="single" w:sz="4" w:space="0" w:color="auto"/>
              <w:left w:val="nil"/>
              <w:bottom w:val="double" w:sz="6" w:space="0" w:color="auto"/>
              <w:right w:val="nil"/>
            </w:tcBorders>
            <w:shd w:val="clear" w:color="auto" w:fill="auto"/>
            <w:noWrap/>
            <w:vAlign w:val="bottom"/>
            <w:hideMark/>
          </w:tcPr>
          <w:p w14:paraId="5B9B1336" w14:textId="77777777" w:rsidR="001118F5" w:rsidRPr="001118F5" w:rsidRDefault="001118F5" w:rsidP="001118F5">
            <w:pPr>
              <w:spacing w:after="0" w:line="240" w:lineRule="auto"/>
              <w:rPr>
                <w:rFonts w:ascii="Arial" w:eastAsia="Times New Roman" w:hAnsi="Arial" w:cs="Arial"/>
                <w:color w:val="000000"/>
              </w:rPr>
            </w:pPr>
            <w:r w:rsidRPr="001118F5">
              <w:rPr>
                <w:rFonts w:ascii="Arial" w:eastAsia="Times New Roman" w:hAnsi="Arial" w:cs="Arial"/>
                <w:color w:val="000000"/>
              </w:rPr>
              <w:t> </w:t>
            </w:r>
          </w:p>
        </w:tc>
        <w:tc>
          <w:tcPr>
            <w:tcW w:w="960" w:type="dxa"/>
            <w:tcBorders>
              <w:top w:val="single" w:sz="4" w:space="0" w:color="auto"/>
              <w:left w:val="nil"/>
              <w:bottom w:val="double" w:sz="6" w:space="0" w:color="auto"/>
              <w:right w:val="nil"/>
            </w:tcBorders>
            <w:shd w:val="clear" w:color="auto" w:fill="auto"/>
            <w:noWrap/>
            <w:vAlign w:val="bottom"/>
            <w:hideMark/>
          </w:tcPr>
          <w:p w14:paraId="673CEB30" w14:textId="77777777" w:rsidR="001118F5" w:rsidRPr="001118F5" w:rsidRDefault="001118F5" w:rsidP="001118F5">
            <w:pPr>
              <w:spacing w:after="0" w:line="240" w:lineRule="auto"/>
              <w:rPr>
                <w:rFonts w:ascii="Arial" w:eastAsia="Times New Roman" w:hAnsi="Arial" w:cs="Arial"/>
                <w:color w:val="000000"/>
              </w:rPr>
            </w:pPr>
            <w:r w:rsidRPr="001118F5">
              <w:rPr>
                <w:rFonts w:ascii="Arial" w:eastAsia="Times New Roman" w:hAnsi="Arial" w:cs="Arial"/>
                <w:color w:val="000000"/>
              </w:rPr>
              <w:t> </w:t>
            </w:r>
          </w:p>
        </w:tc>
        <w:tc>
          <w:tcPr>
            <w:tcW w:w="960" w:type="dxa"/>
            <w:tcBorders>
              <w:top w:val="single" w:sz="4" w:space="0" w:color="auto"/>
              <w:left w:val="nil"/>
              <w:bottom w:val="double" w:sz="6" w:space="0" w:color="auto"/>
              <w:right w:val="nil"/>
            </w:tcBorders>
            <w:shd w:val="clear" w:color="auto" w:fill="auto"/>
            <w:noWrap/>
            <w:vAlign w:val="bottom"/>
            <w:hideMark/>
          </w:tcPr>
          <w:p w14:paraId="271771D9" w14:textId="77777777" w:rsidR="001118F5" w:rsidRPr="001118F5" w:rsidRDefault="001118F5" w:rsidP="001118F5">
            <w:pPr>
              <w:spacing w:after="0" w:line="240" w:lineRule="auto"/>
              <w:rPr>
                <w:rFonts w:ascii="Arial" w:eastAsia="Times New Roman" w:hAnsi="Arial" w:cs="Arial"/>
                <w:color w:val="000000"/>
              </w:rPr>
            </w:pPr>
            <w:r w:rsidRPr="001118F5">
              <w:rPr>
                <w:rFonts w:ascii="Arial" w:eastAsia="Times New Roman" w:hAnsi="Arial" w:cs="Arial"/>
                <w:color w:val="000000"/>
              </w:rPr>
              <w:t> </w:t>
            </w:r>
          </w:p>
        </w:tc>
        <w:tc>
          <w:tcPr>
            <w:tcW w:w="960" w:type="dxa"/>
            <w:tcBorders>
              <w:top w:val="single" w:sz="4" w:space="0" w:color="auto"/>
              <w:left w:val="nil"/>
              <w:bottom w:val="double" w:sz="6" w:space="0" w:color="auto"/>
              <w:right w:val="nil"/>
            </w:tcBorders>
            <w:shd w:val="clear" w:color="auto" w:fill="auto"/>
            <w:noWrap/>
            <w:vAlign w:val="bottom"/>
            <w:hideMark/>
          </w:tcPr>
          <w:p w14:paraId="49774A67" w14:textId="77777777" w:rsidR="001118F5" w:rsidRPr="001118F5" w:rsidRDefault="001118F5" w:rsidP="001118F5">
            <w:pPr>
              <w:spacing w:after="0" w:line="240" w:lineRule="auto"/>
              <w:rPr>
                <w:rFonts w:ascii="Arial" w:eastAsia="Times New Roman" w:hAnsi="Arial" w:cs="Arial"/>
                <w:color w:val="000000"/>
              </w:rPr>
            </w:pPr>
            <w:r w:rsidRPr="001118F5">
              <w:rPr>
                <w:rFonts w:ascii="Arial" w:eastAsia="Times New Roman" w:hAnsi="Arial" w:cs="Arial"/>
                <w:color w:val="000000"/>
              </w:rPr>
              <w:t> </w:t>
            </w:r>
          </w:p>
        </w:tc>
      </w:tr>
    </w:tbl>
    <w:p w14:paraId="7401E8BA" w14:textId="084A2A40" w:rsidR="00E024EE" w:rsidRDefault="00E024EE" w:rsidP="00342F4A">
      <w:pPr>
        <w:spacing w:after="0" w:line="276" w:lineRule="auto"/>
        <w:rPr>
          <w:rFonts w:ascii="Arial" w:hAnsi="Arial" w:cs="Arial"/>
          <w:lang w:val="es-PA"/>
        </w:rPr>
      </w:pPr>
    </w:p>
    <w:p w14:paraId="00DA88AD" w14:textId="5AB9F54A" w:rsidR="00E024EE" w:rsidRDefault="00E024EE" w:rsidP="00342F4A">
      <w:pPr>
        <w:spacing w:after="0" w:line="276" w:lineRule="auto"/>
        <w:rPr>
          <w:rFonts w:ascii="Arial" w:hAnsi="Arial" w:cs="Arial"/>
          <w:lang w:val="es-PA"/>
        </w:rPr>
      </w:pPr>
    </w:p>
    <w:p w14:paraId="2B040AAD" w14:textId="77777777" w:rsidR="00E024EE" w:rsidRDefault="00E024EE" w:rsidP="00342F4A">
      <w:pPr>
        <w:spacing w:after="0" w:line="276" w:lineRule="auto"/>
        <w:rPr>
          <w:rFonts w:ascii="Arial" w:hAnsi="Arial" w:cs="Arial"/>
          <w:lang w:val="es-PA"/>
        </w:rPr>
      </w:pPr>
    </w:p>
    <w:p w14:paraId="046F6A63" w14:textId="77777777" w:rsidR="001118F5" w:rsidRDefault="001118F5" w:rsidP="00064DB4">
      <w:pPr>
        <w:rPr>
          <w:rFonts w:ascii="Arial" w:hAnsi="Arial" w:cs="Arial"/>
          <w:lang w:val="es-PA"/>
        </w:rPr>
      </w:pPr>
    </w:p>
    <w:p w14:paraId="5F756599" w14:textId="77777777" w:rsidR="001118F5" w:rsidRDefault="001118F5" w:rsidP="00064DB4">
      <w:pPr>
        <w:rPr>
          <w:rFonts w:ascii="Arial" w:hAnsi="Arial" w:cs="Arial"/>
          <w:lang w:val="es-PA"/>
        </w:rPr>
      </w:pPr>
    </w:p>
    <w:p w14:paraId="420D05C4" w14:textId="77777777" w:rsidR="001118F5" w:rsidRDefault="001118F5" w:rsidP="00064DB4">
      <w:pPr>
        <w:rPr>
          <w:rFonts w:ascii="Arial" w:hAnsi="Arial" w:cs="Arial"/>
          <w:lang w:val="es-PA"/>
        </w:rPr>
      </w:pPr>
    </w:p>
    <w:p w14:paraId="724953B7" w14:textId="77777777" w:rsidR="001118F5" w:rsidRDefault="001118F5" w:rsidP="00064DB4">
      <w:pPr>
        <w:rPr>
          <w:rFonts w:ascii="Arial" w:hAnsi="Arial" w:cs="Arial"/>
          <w:lang w:val="es-PA"/>
        </w:rPr>
      </w:pPr>
    </w:p>
    <w:p w14:paraId="24387F50" w14:textId="61D26322" w:rsidR="00CA0332" w:rsidRDefault="001655E2" w:rsidP="003D3364">
      <w:pPr>
        <w:jc w:val="both"/>
        <w:rPr>
          <w:rFonts w:ascii="Arial" w:hAnsi="Arial" w:cs="Arial"/>
          <w:lang w:val="es-PA"/>
        </w:rPr>
      </w:pPr>
      <w:r>
        <w:rPr>
          <w:rFonts w:ascii="Arial" w:hAnsi="Arial" w:cs="Arial"/>
          <w:lang w:val="es-PA"/>
        </w:rPr>
        <w:t xml:space="preserve">Como se explica en la Nota XX sobre los efectos de la COVID-19, a partir del 31 de marzo de 2020 el banco otorgó un periodo de gracia automático </w:t>
      </w:r>
      <w:r w:rsidR="00CA0332">
        <w:rPr>
          <w:rFonts w:ascii="Arial" w:hAnsi="Arial" w:cs="Arial"/>
          <w:lang w:val="es-PA"/>
        </w:rPr>
        <w:t xml:space="preserve">a los prestatarios </w:t>
      </w:r>
      <w:r w:rsidRPr="001655E2">
        <w:rPr>
          <w:rFonts w:ascii="Arial" w:hAnsi="Arial" w:cs="Arial"/>
          <w:lang w:val="es-PA"/>
        </w:rPr>
        <w:t>afectados en sus actividades comerciales o personales por COVID-19, hasta el 30 de junio de 2020.</w:t>
      </w:r>
      <w:r>
        <w:rPr>
          <w:rFonts w:ascii="Arial" w:hAnsi="Arial" w:cs="Arial"/>
          <w:lang w:val="es-PA"/>
        </w:rPr>
        <w:t xml:space="preserve"> A partir de esa fecha, y como resultado de un acuerdo firmado entre el Gobierno de Panamá y la Asociación Bancaria de Panamá</w:t>
      </w:r>
      <w:r w:rsidR="00CA0332">
        <w:rPr>
          <w:rFonts w:ascii="Arial" w:hAnsi="Arial" w:cs="Arial"/>
          <w:lang w:val="es-PA"/>
        </w:rPr>
        <w:t>, así como la emisión de la ley No. 156 de moratoria, extendió hasta el 31 de diciembre de 2020 los alivios financieros a quienes resultaron afecta</w:t>
      </w:r>
      <w:r w:rsidR="000B3249">
        <w:rPr>
          <w:rFonts w:ascii="Arial" w:hAnsi="Arial" w:cs="Arial"/>
          <w:lang w:val="es-PA"/>
        </w:rPr>
        <w:t xml:space="preserve">dos </w:t>
      </w:r>
      <w:r w:rsidR="00CA0332">
        <w:rPr>
          <w:rFonts w:ascii="Arial" w:hAnsi="Arial" w:cs="Arial"/>
          <w:lang w:val="es-PA"/>
        </w:rPr>
        <w:t>por la COVID-19 y que así lo solicitaron. Estas medidas de alivio financiero consisten principalmente en el otorgamiento de periodos de gracia de capital e intereses a los clientes que hayan visto afectados sus ingresos por la pandemia.</w:t>
      </w:r>
    </w:p>
    <w:p w14:paraId="2678F0C3" w14:textId="1C1048D7" w:rsidR="003217EA" w:rsidRDefault="003217EA" w:rsidP="003D3364">
      <w:pPr>
        <w:pStyle w:val="Default"/>
        <w:jc w:val="both"/>
        <w:rPr>
          <w:sz w:val="22"/>
          <w:szCs w:val="22"/>
          <w:lang w:val="es-PA"/>
        </w:rPr>
      </w:pPr>
      <w:r w:rsidRPr="003217EA">
        <w:rPr>
          <w:sz w:val="22"/>
          <w:szCs w:val="22"/>
          <w:lang w:val="es-PA"/>
        </w:rPr>
        <w:t>Como par</w:t>
      </w:r>
      <w:r>
        <w:rPr>
          <w:sz w:val="22"/>
          <w:szCs w:val="22"/>
          <w:lang w:val="es-PA"/>
        </w:rPr>
        <w:t>te de la gestión de riesgo del b</w:t>
      </w:r>
      <w:r w:rsidRPr="003217EA">
        <w:rPr>
          <w:sz w:val="22"/>
          <w:szCs w:val="22"/>
          <w:lang w:val="es-PA"/>
        </w:rPr>
        <w:t xml:space="preserve">anco, se han desarrollado análisis tanto </w:t>
      </w:r>
      <w:r>
        <w:rPr>
          <w:sz w:val="22"/>
          <w:szCs w:val="22"/>
          <w:lang w:val="es-PA"/>
        </w:rPr>
        <w:t>individuales como colectivos</w:t>
      </w:r>
      <w:r w:rsidRPr="003217EA">
        <w:rPr>
          <w:sz w:val="22"/>
          <w:szCs w:val="22"/>
          <w:lang w:val="es-PA"/>
        </w:rPr>
        <w:t xml:space="preserve"> de la condición de </w:t>
      </w:r>
      <w:r w:rsidR="00E63264">
        <w:rPr>
          <w:sz w:val="22"/>
          <w:szCs w:val="22"/>
          <w:lang w:val="es-PA"/>
        </w:rPr>
        <w:t>los créditos</w:t>
      </w:r>
      <w:r w:rsidRPr="003217EA">
        <w:rPr>
          <w:sz w:val="22"/>
          <w:szCs w:val="22"/>
          <w:lang w:val="es-PA"/>
        </w:rPr>
        <w:t xml:space="preserve">, </w:t>
      </w:r>
      <w:r>
        <w:rPr>
          <w:sz w:val="22"/>
          <w:szCs w:val="22"/>
          <w:lang w:val="es-PA"/>
        </w:rPr>
        <w:t xml:space="preserve">incluyendo la segmentación de la cartera con el objetivo de identificar </w:t>
      </w:r>
      <w:r w:rsidR="00E63264">
        <w:rPr>
          <w:sz w:val="22"/>
          <w:szCs w:val="22"/>
          <w:lang w:val="es-PA"/>
        </w:rPr>
        <w:t>la situación laboral o de apertura de actividad económica de cada cliente y de</w:t>
      </w:r>
      <w:r w:rsidR="00BE3C53">
        <w:rPr>
          <w:sz w:val="22"/>
          <w:szCs w:val="22"/>
          <w:lang w:val="es-PA"/>
        </w:rPr>
        <w:t>finir</w:t>
      </w:r>
      <w:r w:rsidR="00E63264">
        <w:rPr>
          <w:sz w:val="22"/>
          <w:szCs w:val="22"/>
          <w:lang w:val="es-PA"/>
        </w:rPr>
        <w:t xml:space="preserve"> quienes</w:t>
      </w:r>
      <w:r>
        <w:rPr>
          <w:sz w:val="22"/>
          <w:szCs w:val="22"/>
          <w:lang w:val="es-PA"/>
        </w:rPr>
        <w:t xml:space="preserve"> podrán cumplir con sus obligaciones bancarias, cuales tendrán dificultades en hacerlo y quienes definitivamente no podrán cumplir y de esa manera determinar si ha habido un incremento significativo de riesgo y clasificar dichos préstamos de acuerdo con la etapa de deterioro correspondiente. Adicionalmente, se ha llegado </w:t>
      </w:r>
      <w:r w:rsidR="002028F0">
        <w:rPr>
          <w:sz w:val="22"/>
          <w:szCs w:val="22"/>
          <w:lang w:val="es-PA"/>
        </w:rPr>
        <w:t>a diferentes acuerdos con los clientes según el análisis individual de su capacidad de generar flujos de efectivo</w:t>
      </w:r>
      <w:r>
        <w:rPr>
          <w:sz w:val="22"/>
          <w:szCs w:val="22"/>
          <w:lang w:val="es-PA"/>
        </w:rPr>
        <w:t xml:space="preserve"> </w:t>
      </w:r>
      <w:r w:rsidR="002028F0">
        <w:rPr>
          <w:sz w:val="22"/>
          <w:szCs w:val="22"/>
          <w:lang w:val="es-PA"/>
        </w:rPr>
        <w:t>necesarios para cumplir con sus obligaciones.</w:t>
      </w:r>
    </w:p>
    <w:p w14:paraId="08B9345F" w14:textId="77777777" w:rsidR="003217EA" w:rsidRDefault="003217EA" w:rsidP="003D3364">
      <w:pPr>
        <w:pStyle w:val="Default"/>
        <w:jc w:val="both"/>
        <w:rPr>
          <w:sz w:val="22"/>
          <w:szCs w:val="22"/>
          <w:lang w:val="es-PA"/>
        </w:rPr>
      </w:pPr>
    </w:p>
    <w:p w14:paraId="441AD796" w14:textId="13A9031D" w:rsidR="002028F0" w:rsidRPr="00B4148D" w:rsidRDefault="002028F0" w:rsidP="003D3364">
      <w:pPr>
        <w:pStyle w:val="Default"/>
        <w:jc w:val="both"/>
        <w:rPr>
          <w:color w:val="FF0000"/>
          <w:sz w:val="22"/>
          <w:szCs w:val="22"/>
          <w:lang w:val="es-PA"/>
        </w:rPr>
      </w:pPr>
      <w:r>
        <w:rPr>
          <w:sz w:val="22"/>
          <w:szCs w:val="22"/>
          <w:lang w:val="es-PA"/>
        </w:rPr>
        <w:t xml:space="preserve">La </w:t>
      </w:r>
      <w:r w:rsidR="003217EA" w:rsidRPr="003217EA">
        <w:rPr>
          <w:sz w:val="22"/>
          <w:szCs w:val="22"/>
          <w:lang w:val="es-PA"/>
        </w:rPr>
        <w:t xml:space="preserve">COVID-19 ha </w:t>
      </w:r>
      <w:r>
        <w:rPr>
          <w:sz w:val="22"/>
          <w:szCs w:val="22"/>
          <w:lang w:val="es-PA"/>
        </w:rPr>
        <w:t xml:space="preserve">resultado en una </w:t>
      </w:r>
      <w:r w:rsidRPr="002028F0">
        <w:rPr>
          <w:sz w:val="22"/>
          <w:szCs w:val="22"/>
          <w:lang w:val="es-PA"/>
        </w:rPr>
        <w:t>disrupción en las actividades económicas</w:t>
      </w:r>
      <w:r w:rsidRPr="003217EA">
        <w:rPr>
          <w:sz w:val="22"/>
          <w:szCs w:val="22"/>
          <w:lang w:val="es-PA"/>
        </w:rPr>
        <w:t xml:space="preserve"> </w:t>
      </w:r>
      <w:r w:rsidR="003217EA" w:rsidRPr="003217EA">
        <w:rPr>
          <w:sz w:val="22"/>
          <w:szCs w:val="22"/>
          <w:lang w:val="es-PA"/>
        </w:rPr>
        <w:t xml:space="preserve">que han afectado negativamente, y es probable que continúen afectando negativamente el negocio del Banco, su condición financiera, liquidez y resultados de operaciones. </w:t>
      </w:r>
      <w:r>
        <w:rPr>
          <w:sz w:val="22"/>
          <w:szCs w:val="22"/>
          <w:lang w:val="es-PA"/>
        </w:rPr>
        <w:t>Los flujos de efectivo del banco se han visto disminuidos significativamente como consecuencia de las moratorias antes mencionadas, como se muestra en el siguiente cuadro</w:t>
      </w:r>
      <w:r w:rsidR="008B0C7D">
        <w:rPr>
          <w:sz w:val="22"/>
          <w:szCs w:val="22"/>
          <w:lang w:val="es-PA"/>
        </w:rPr>
        <w:t xml:space="preserve"> que detalla</w:t>
      </w:r>
      <w:r w:rsidR="006A647A">
        <w:rPr>
          <w:sz w:val="22"/>
          <w:szCs w:val="22"/>
          <w:lang w:val="es-PA"/>
        </w:rPr>
        <w:t xml:space="preserve"> el porcentaje del valor de los préstamos </w:t>
      </w:r>
      <w:r w:rsidR="00E63264">
        <w:rPr>
          <w:sz w:val="22"/>
          <w:szCs w:val="22"/>
          <w:lang w:val="es-PA"/>
        </w:rPr>
        <w:t>mención especial modificado, incluyendo intereses,</w:t>
      </w:r>
      <w:r w:rsidR="008B0C7D">
        <w:rPr>
          <w:sz w:val="22"/>
          <w:szCs w:val="22"/>
          <w:lang w:val="es-PA"/>
        </w:rPr>
        <w:t xml:space="preserve"> </w:t>
      </w:r>
      <w:r w:rsidR="006A647A">
        <w:rPr>
          <w:sz w:val="22"/>
          <w:szCs w:val="22"/>
          <w:lang w:val="es-PA"/>
        </w:rPr>
        <w:t xml:space="preserve">que </w:t>
      </w:r>
      <w:r w:rsidR="00D00170">
        <w:rPr>
          <w:sz w:val="22"/>
          <w:szCs w:val="22"/>
          <w:lang w:val="es-PA"/>
        </w:rPr>
        <w:t>al 31 de diciembre de 202</w:t>
      </w:r>
      <w:r w:rsidR="00E024EE">
        <w:rPr>
          <w:sz w:val="22"/>
          <w:szCs w:val="22"/>
          <w:lang w:val="es-PA"/>
        </w:rPr>
        <w:t>1</w:t>
      </w:r>
      <w:r w:rsidR="00D00170">
        <w:rPr>
          <w:sz w:val="22"/>
          <w:szCs w:val="22"/>
          <w:lang w:val="es-PA"/>
        </w:rPr>
        <w:t xml:space="preserve"> </w:t>
      </w:r>
      <w:r w:rsidR="006A647A">
        <w:rPr>
          <w:sz w:val="22"/>
          <w:szCs w:val="22"/>
          <w:lang w:val="es-PA"/>
        </w:rPr>
        <w:t xml:space="preserve">no </w:t>
      </w:r>
      <w:r w:rsidR="008B0C7D">
        <w:rPr>
          <w:sz w:val="22"/>
          <w:szCs w:val="22"/>
          <w:lang w:val="es-PA"/>
        </w:rPr>
        <w:t xml:space="preserve">presentan pago en sus cuotas </w:t>
      </w:r>
      <w:r w:rsidR="003C37F3">
        <w:rPr>
          <w:sz w:val="22"/>
          <w:szCs w:val="22"/>
          <w:lang w:val="es-PA"/>
        </w:rPr>
        <w:t>contado a partir del</w:t>
      </w:r>
      <w:r w:rsidR="008B0C7D">
        <w:rPr>
          <w:sz w:val="22"/>
          <w:szCs w:val="22"/>
          <w:lang w:val="es-PA"/>
        </w:rPr>
        <w:t xml:space="preserve"> último pago de la cuota </w:t>
      </w:r>
      <w:r w:rsidR="003C37F3" w:rsidRPr="003C37F3">
        <w:rPr>
          <w:color w:val="auto"/>
          <w:sz w:val="22"/>
          <w:szCs w:val="22"/>
          <w:lang w:val="es-PA"/>
        </w:rPr>
        <w:t>registrado al momento de la modificación del crédito</w:t>
      </w:r>
      <w:r w:rsidR="008B0C7D">
        <w:rPr>
          <w:sz w:val="22"/>
          <w:szCs w:val="22"/>
          <w:lang w:val="es-PA"/>
        </w:rPr>
        <w:t>:</w:t>
      </w:r>
    </w:p>
    <w:p w14:paraId="54CD5C60" w14:textId="77777777" w:rsidR="002028F0" w:rsidRPr="00B4148D" w:rsidRDefault="002028F0" w:rsidP="003D3364">
      <w:pPr>
        <w:pStyle w:val="Default"/>
        <w:jc w:val="both"/>
        <w:rPr>
          <w:color w:val="FF0000"/>
          <w:sz w:val="22"/>
          <w:szCs w:val="22"/>
          <w:lang w:val="es-PA"/>
        </w:rPr>
      </w:pPr>
    </w:p>
    <w:tbl>
      <w:tblPr>
        <w:tblW w:w="7000" w:type="dxa"/>
        <w:tblLook w:val="04A0" w:firstRow="1" w:lastRow="0" w:firstColumn="1" w:lastColumn="0" w:noHBand="0" w:noVBand="1"/>
      </w:tblPr>
      <w:tblGrid>
        <w:gridCol w:w="2840"/>
        <w:gridCol w:w="1040"/>
        <w:gridCol w:w="1040"/>
        <w:gridCol w:w="1040"/>
        <w:gridCol w:w="1109"/>
      </w:tblGrid>
      <w:tr w:rsidR="003C37F3" w:rsidRPr="003C37F3" w14:paraId="4E04D036" w14:textId="77777777" w:rsidTr="003C37F3">
        <w:trPr>
          <w:trHeight w:val="840"/>
        </w:trPr>
        <w:tc>
          <w:tcPr>
            <w:tcW w:w="2840" w:type="dxa"/>
            <w:tcBorders>
              <w:top w:val="nil"/>
              <w:left w:val="nil"/>
              <w:bottom w:val="nil"/>
              <w:right w:val="nil"/>
            </w:tcBorders>
            <w:shd w:val="clear" w:color="auto" w:fill="auto"/>
            <w:noWrap/>
            <w:vAlign w:val="bottom"/>
            <w:hideMark/>
          </w:tcPr>
          <w:p w14:paraId="655DA245" w14:textId="77777777" w:rsidR="003C37F3" w:rsidRPr="003C37F3" w:rsidRDefault="003C37F3" w:rsidP="003C37F3">
            <w:pPr>
              <w:spacing w:after="0" w:line="240" w:lineRule="auto"/>
              <w:rPr>
                <w:rFonts w:ascii="Times New Roman" w:eastAsia="Times New Roman" w:hAnsi="Times New Roman" w:cs="Times New Roman"/>
                <w:sz w:val="24"/>
                <w:szCs w:val="24"/>
                <w:lang w:val="es-PA"/>
              </w:rPr>
            </w:pPr>
          </w:p>
        </w:tc>
        <w:tc>
          <w:tcPr>
            <w:tcW w:w="1040" w:type="dxa"/>
            <w:tcBorders>
              <w:top w:val="nil"/>
              <w:left w:val="nil"/>
              <w:bottom w:val="nil"/>
              <w:right w:val="nil"/>
            </w:tcBorders>
            <w:shd w:val="clear" w:color="auto" w:fill="auto"/>
            <w:vAlign w:val="bottom"/>
            <w:hideMark/>
          </w:tcPr>
          <w:p w14:paraId="54271146" w14:textId="77777777" w:rsidR="003C37F3" w:rsidRPr="003C37F3" w:rsidRDefault="003C37F3" w:rsidP="003C37F3">
            <w:pPr>
              <w:spacing w:after="0" w:line="240" w:lineRule="auto"/>
              <w:jc w:val="center"/>
              <w:rPr>
                <w:rFonts w:ascii="Arial" w:eastAsia="Times New Roman" w:hAnsi="Arial" w:cs="Arial"/>
                <w:b/>
                <w:bCs/>
                <w:color w:val="000000"/>
              </w:rPr>
            </w:pPr>
            <w:r w:rsidRPr="003C37F3">
              <w:rPr>
                <w:rFonts w:ascii="Arial" w:eastAsia="Times New Roman" w:hAnsi="Arial" w:cs="Arial"/>
                <w:b/>
                <w:bCs/>
                <w:color w:val="000000"/>
              </w:rPr>
              <w:t>Hasta 90 días</w:t>
            </w:r>
          </w:p>
        </w:tc>
        <w:tc>
          <w:tcPr>
            <w:tcW w:w="1040" w:type="dxa"/>
            <w:tcBorders>
              <w:top w:val="nil"/>
              <w:left w:val="nil"/>
              <w:bottom w:val="nil"/>
              <w:right w:val="nil"/>
            </w:tcBorders>
            <w:shd w:val="clear" w:color="auto" w:fill="auto"/>
            <w:vAlign w:val="bottom"/>
            <w:hideMark/>
          </w:tcPr>
          <w:p w14:paraId="79CE8CF5" w14:textId="77777777" w:rsidR="003C37F3" w:rsidRPr="003C37F3" w:rsidRDefault="003C37F3" w:rsidP="003C37F3">
            <w:pPr>
              <w:spacing w:after="0" w:line="240" w:lineRule="auto"/>
              <w:jc w:val="center"/>
              <w:rPr>
                <w:rFonts w:ascii="Arial" w:eastAsia="Times New Roman" w:hAnsi="Arial" w:cs="Arial"/>
                <w:b/>
                <w:bCs/>
                <w:color w:val="000000"/>
              </w:rPr>
            </w:pPr>
            <w:r w:rsidRPr="003C37F3">
              <w:rPr>
                <w:rFonts w:ascii="Arial" w:eastAsia="Times New Roman" w:hAnsi="Arial" w:cs="Arial"/>
                <w:b/>
                <w:bCs/>
                <w:color w:val="000000"/>
              </w:rPr>
              <w:t>Entre 9</w:t>
            </w:r>
            <w:r>
              <w:rPr>
                <w:rFonts w:ascii="Arial" w:eastAsia="Times New Roman" w:hAnsi="Arial" w:cs="Arial"/>
                <w:b/>
                <w:bCs/>
                <w:color w:val="000000"/>
              </w:rPr>
              <w:t>1</w:t>
            </w:r>
            <w:r w:rsidRPr="003C37F3">
              <w:rPr>
                <w:rFonts w:ascii="Arial" w:eastAsia="Times New Roman" w:hAnsi="Arial" w:cs="Arial"/>
                <w:b/>
                <w:bCs/>
                <w:color w:val="000000"/>
              </w:rPr>
              <w:t xml:space="preserve"> y 120 días</w:t>
            </w:r>
          </w:p>
        </w:tc>
        <w:tc>
          <w:tcPr>
            <w:tcW w:w="1040" w:type="dxa"/>
            <w:tcBorders>
              <w:top w:val="nil"/>
              <w:left w:val="nil"/>
              <w:bottom w:val="nil"/>
              <w:right w:val="nil"/>
            </w:tcBorders>
            <w:shd w:val="clear" w:color="auto" w:fill="auto"/>
            <w:vAlign w:val="bottom"/>
            <w:hideMark/>
          </w:tcPr>
          <w:p w14:paraId="04028DBE" w14:textId="77777777" w:rsidR="003C37F3" w:rsidRPr="003C37F3" w:rsidRDefault="003C37F3" w:rsidP="003C37F3">
            <w:pPr>
              <w:spacing w:after="0" w:line="240" w:lineRule="auto"/>
              <w:jc w:val="center"/>
              <w:rPr>
                <w:rFonts w:ascii="Arial" w:eastAsia="Times New Roman" w:hAnsi="Arial" w:cs="Arial"/>
                <w:b/>
                <w:bCs/>
                <w:color w:val="000000"/>
              </w:rPr>
            </w:pPr>
            <w:r w:rsidRPr="003C37F3">
              <w:rPr>
                <w:rFonts w:ascii="Arial" w:eastAsia="Times New Roman" w:hAnsi="Arial" w:cs="Arial"/>
                <w:b/>
                <w:bCs/>
                <w:color w:val="000000"/>
              </w:rPr>
              <w:t>Entre 121 y 180 días</w:t>
            </w:r>
          </w:p>
        </w:tc>
        <w:tc>
          <w:tcPr>
            <w:tcW w:w="1040" w:type="dxa"/>
            <w:tcBorders>
              <w:top w:val="nil"/>
              <w:left w:val="nil"/>
              <w:bottom w:val="nil"/>
              <w:right w:val="nil"/>
            </w:tcBorders>
            <w:shd w:val="clear" w:color="auto" w:fill="auto"/>
            <w:vAlign w:val="bottom"/>
            <w:hideMark/>
          </w:tcPr>
          <w:p w14:paraId="71045384" w14:textId="39B68533" w:rsidR="003C37F3" w:rsidRPr="00296397" w:rsidRDefault="00B4148D" w:rsidP="003C37F3">
            <w:pPr>
              <w:spacing w:after="0" w:line="240" w:lineRule="auto"/>
              <w:jc w:val="center"/>
              <w:rPr>
                <w:rFonts w:ascii="Arial" w:eastAsia="Times New Roman" w:hAnsi="Arial" w:cs="Arial"/>
                <w:b/>
                <w:bCs/>
                <w:color w:val="000000"/>
              </w:rPr>
            </w:pPr>
            <w:r w:rsidRPr="00296397">
              <w:rPr>
                <w:rFonts w:ascii="Arial" w:eastAsia="Times New Roman" w:hAnsi="Arial" w:cs="Arial"/>
                <w:b/>
                <w:bCs/>
                <w:color w:val="000000"/>
              </w:rPr>
              <w:t xml:space="preserve">Desde </w:t>
            </w:r>
            <w:r w:rsidR="003C37F3" w:rsidRPr="00296397">
              <w:rPr>
                <w:rFonts w:ascii="Arial" w:eastAsia="Times New Roman" w:hAnsi="Arial" w:cs="Arial"/>
                <w:b/>
                <w:bCs/>
                <w:color w:val="000000"/>
              </w:rPr>
              <w:t xml:space="preserve">181 </w:t>
            </w:r>
            <w:r w:rsidRPr="00296397">
              <w:rPr>
                <w:rFonts w:ascii="Arial" w:eastAsia="Times New Roman" w:hAnsi="Arial" w:cs="Arial"/>
                <w:b/>
                <w:bCs/>
                <w:color w:val="000000"/>
              </w:rPr>
              <w:t xml:space="preserve">días en adelante </w:t>
            </w:r>
          </w:p>
        </w:tc>
      </w:tr>
      <w:tr w:rsidR="003C37F3" w:rsidRPr="003C37F3" w14:paraId="6CB9692C" w14:textId="77777777" w:rsidTr="003C37F3">
        <w:trPr>
          <w:trHeight w:val="288"/>
        </w:trPr>
        <w:tc>
          <w:tcPr>
            <w:tcW w:w="2840" w:type="dxa"/>
            <w:tcBorders>
              <w:top w:val="nil"/>
              <w:left w:val="nil"/>
              <w:bottom w:val="nil"/>
              <w:right w:val="nil"/>
            </w:tcBorders>
            <w:shd w:val="clear" w:color="auto" w:fill="auto"/>
            <w:noWrap/>
            <w:vAlign w:val="bottom"/>
            <w:hideMark/>
          </w:tcPr>
          <w:p w14:paraId="29B478C4" w14:textId="77777777" w:rsidR="003C37F3" w:rsidRPr="003C37F3" w:rsidRDefault="003C37F3" w:rsidP="003C37F3">
            <w:pPr>
              <w:spacing w:after="0" w:line="240" w:lineRule="auto"/>
              <w:jc w:val="center"/>
              <w:rPr>
                <w:rFonts w:ascii="Arial" w:eastAsia="Times New Roman" w:hAnsi="Arial" w:cs="Arial"/>
                <w:b/>
                <w:bCs/>
                <w:color w:val="000000"/>
              </w:rPr>
            </w:pPr>
          </w:p>
        </w:tc>
        <w:tc>
          <w:tcPr>
            <w:tcW w:w="1040" w:type="dxa"/>
            <w:tcBorders>
              <w:top w:val="nil"/>
              <w:left w:val="nil"/>
              <w:bottom w:val="nil"/>
              <w:right w:val="nil"/>
            </w:tcBorders>
            <w:shd w:val="clear" w:color="auto" w:fill="auto"/>
            <w:noWrap/>
            <w:vAlign w:val="bottom"/>
            <w:hideMark/>
          </w:tcPr>
          <w:p w14:paraId="0B89C62E" w14:textId="77777777" w:rsidR="003C37F3" w:rsidRPr="003C37F3" w:rsidRDefault="003C37F3" w:rsidP="003C37F3">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3F84976C" w14:textId="77777777" w:rsidR="003C37F3" w:rsidRPr="003C37F3" w:rsidRDefault="003C37F3" w:rsidP="003C37F3">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5CB1D35D" w14:textId="77777777" w:rsidR="003C37F3" w:rsidRPr="003C37F3" w:rsidRDefault="003C37F3" w:rsidP="003C37F3">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shd w:val="clear" w:color="auto" w:fill="auto"/>
            <w:noWrap/>
            <w:vAlign w:val="bottom"/>
            <w:hideMark/>
          </w:tcPr>
          <w:p w14:paraId="2D067B6A" w14:textId="77777777" w:rsidR="003C37F3" w:rsidRPr="003C37F3" w:rsidRDefault="003C37F3" w:rsidP="003C37F3">
            <w:pPr>
              <w:spacing w:after="0" w:line="240" w:lineRule="auto"/>
              <w:rPr>
                <w:rFonts w:ascii="Times New Roman" w:eastAsia="Times New Roman" w:hAnsi="Times New Roman" w:cs="Times New Roman"/>
                <w:sz w:val="20"/>
                <w:szCs w:val="20"/>
              </w:rPr>
            </w:pPr>
          </w:p>
        </w:tc>
      </w:tr>
      <w:tr w:rsidR="003C37F3" w:rsidRPr="003C37F3" w14:paraId="37AAE6D4" w14:textId="77777777" w:rsidTr="003C37F3">
        <w:trPr>
          <w:trHeight w:val="288"/>
        </w:trPr>
        <w:tc>
          <w:tcPr>
            <w:tcW w:w="2840" w:type="dxa"/>
            <w:tcBorders>
              <w:top w:val="nil"/>
              <w:left w:val="nil"/>
              <w:bottom w:val="nil"/>
              <w:right w:val="nil"/>
            </w:tcBorders>
            <w:shd w:val="clear" w:color="auto" w:fill="auto"/>
            <w:noWrap/>
            <w:vAlign w:val="bottom"/>
            <w:hideMark/>
          </w:tcPr>
          <w:p w14:paraId="2004AAC2" w14:textId="77777777" w:rsidR="003C37F3" w:rsidRPr="003C37F3" w:rsidRDefault="003C37F3" w:rsidP="003C37F3">
            <w:pPr>
              <w:spacing w:after="0" w:line="240" w:lineRule="auto"/>
              <w:rPr>
                <w:rFonts w:ascii="Arial" w:eastAsia="Times New Roman" w:hAnsi="Arial" w:cs="Arial"/>
                <w:color w:val="000000"/>
              </w:rPr>
            </w:pPr>
            <w:r w:rsidRPr="003C37F3">
              <w:rPr>
                <w:rFonts w:ascii="Arial" w:eastAsia="Times New Roman" w:hAnsi="Arial" w:cs="Arial"/>
                <w:color w:val="000000"/>
              </w:rPr>
              <w:t>Préstamos a personas</w:t>
            </w:r>
          </w:p>
        </w:tc>
        <w:tc>
          <w:tcPr>
            <w:tcW w:w="1040" w:type="dxa"/>
            <w:tcBorders>
              <w:top w:val="nil"/>
              <w:left w:val="nil"/>
              <w:bottom w:val="nil"/>
              <w:right w:val="nil"/>
            </w:tcBorders>
            <w:shd w:val="clear" w:color="auto" w:fill="auto"/>
            <w:noWrap/>
            <w:vAlign w:val="bottom"/>
            <w:hideMark/>
          </w:tcPr>
          <w:p w14:paraId="6E178BFF" w14:textId="77777777" w:rsidR="003C37F3" w:rsidRPr="003C37F3" w:rsidRDefault="003C37F3" w:rsidP="003C37F3">
            <w:pPr>
              <w:spacing w:after="0" w:line="240" w:lineRule="auto"/>
              <w:jc w:val="center"/>
              <w:rPr>
                <w:rFonts w:ascii="Arial" w:eastAsia="Times New Roman" w:hAnsi="Arial" w:cs="Arial"/>
                <w:color w:val="000000"/>
              </w:rPr>
            </w:pPr>
            <w:r w:rsidRPr="003C37F3">
              <w:rPr>
                <w:rFonts w:ascii="Arial" w:eastAsia="Times New Roman" w:hAnsi="Arial" w:cs="Arial"/>
                <w:color w:val="000000"/>
              </w:rPr>
              <w:t>%</w:t>
            </w:r>
          </w:p>
        </w:tc>
        <w:tc>
          <w:tcPr>
            <w:tcW w:w="1040" w:type="dxa"/>
            <w:tcBorders>
              <w:top w:val="nil"/>
              <w:left w:val="nil"/>
              <w:bottom w:val="nil"/>
              <w:right w:val="nil"/>
            </w:tcBorders>
            <w:shd w:val="clear" w:color="auto" w:fill="auto"/>
            <w:noWrap/>
            <w:vAlign w:val="bottom"/>
            <w:hideMark/>
          </w:tcPr>
          <w:p w14:paraId="1862A655" w14:textId="77777777" w:rsidR="003C37F3" w:rsidRPr="003C37F3" w:rsidRDefault="003C37F3" w:rsidP="003C37F3">
            <w:pPr>
              <w:spacing w:after="0" w:line="240" w:lineRule="auto"/>
              <w:jc w:val="center"/>
              <w:rPr>
                <w:rFonts w:ascii="Arial" w:eastAsia="Times New Roman" w:hAnsi="Arial" w:cs="Arial"/>
                <w:color w:val="000000"/>
              </w:rPr>
            </w:pPr>
            <w:r w:rsidRPr="003C37F3">
              <w:rPr>
                <w:rFonts w:ascii="Arial" w:eastAsia="Times New Roman" w:hAnsi="Arial" w:cs="Arial"/>
                <w:color w:val="000000"/>
              </w:rPr>
              <w:t>%</w:t>
            </w:r>
          </w:p>
        </w:tc>
        <w:tc>
          <w:tcPr>
            <w:tcW w:w="1040" w:type="dxa"/>
            <w:tcBorders>
              <w:top w:val="nil"/>
              <w:left w:val="nil"/>
              <w:bottom w:val="nil"/>
              <w:right w:val="nil"/>
            </w:tcBorders>
            <w:shd w:val="clear" w:color="auto" w:fill="auto"/>
            <w:noWrap/>
            <w:vAlign w:val="bottom"/>
            <w:hideMark/>
          </w:tcPr>
          <w:p w14:paraId="1B93C58D" w14:textId="77777777" w:rsidR="003C37F3" w:rsidRPr="003C37F3" w:rsidRDefault="003C37F3" w:rsidP="003C37F3">
            <w:pPr>
              <w:spacing w:after="0" w:line="240" w:lineRule="auto"/>
              <w:jc w:val="center"/>
              <w:rPr>
                <w:rFonts w:ascii="Arial" w:eastAsia="Times New Roman" w:hAnsi="Arial" w:cs="Arial"/>
                <w:color w:val="000000"/>
              </w:rPr>
            </w:pPr>
            <w:r w:rsidRPr="003C37F3">
              <w:rPr>
                <w:rFonts w:ascii="Arial" w:eastAsia="Times New Roman" w:hAnsi="Arial" w:cs="Arial"/>
                <w:color w:val="000000"/>
              </w:rPr>
              <w:t>%</w:t>
            </w:r>
          </w:p>
        </w:tc>
        <w:tc>
          <w:tcPr>
            <w:tcW w:w="1040" w:type="dxa"/>
            <w:tcBorders>
              <w:top w:val="nil"/>
              <w:left w:val="nil"/>
              <w:bottom w:val="nil"/>
              <w:right w:val="nil"/>
            </w:tcBorders>
            <w:shd w:val="clear" w:color="auto" w:fill="auto"/>
            <w:noWrap/>
            <w:vAlign w:val="bottom"/>
            <w:hideMark/>
          </w:tcPr>
          <w:p w14:paraId="0F0E6E52" w14:textId="77777777" w:rsidR="003C37F3" w:rsidRPr="003C37F3" w:rsidRDefault="003C37F3" w:rsidP="003C37F3">
            <w:pPr>
              <w:spacing w:after="0" w:line="240" w:lineRule="auto"/>
              <w:jc w:val="center"/>
              <w:rPr>
                <w:rFonts w:ascii="Arial" w:eastAsia="Times New Roman" w:hAnsi="Arial" w:cs="Arial"/>
                <w:color w:val="000000"/>
              </w:rPr>
            </w:pPr>
            <w:r w:rsidRPr="003C37F3">
              <w:rPr>
                <w:rFonts w:ascii="Arial" w:eastAsia="Times New Roman" w:hAnsi="Arial" w:cs="Arial"/>
                <w:color w:val="000000"/>
              </w:rPr>
              <w:t>%</w:t>
            </w:r>
          </w:p>
        </w:tc>
      </w:tr>
      <w:tr w:rsidR="003C37F3" w:rsidRPr="003C37F3" w14:paraId="440B703F" w14:textId="77777777" w:rsidTr="003C37F3">
        <w:trPr>
          <w:trHeight w:val="288"/>
        </w:trPr>
        <w:tc>
          <w:tcPr>
            <w:tcW w:w="2840" w:type="dxa"/>
            <w:tcBorders>
              <w:top w:val="nil"/>
              <w:left w:val="nil"/>
              <w:bottom w:val="nil"/>
              <w:right w:val="nil"/>
            </w:tcBorders>
            <w:shd w:val="clear" w:color="auto" w:fill="auto"/>
            <w:noWrap/>
            <w:vAlign w:val="bottom"/>
            <w:hideMark/>
          </w:tcPr>
          <w:p w14:paraId="32661ED8" w14:textId="77777777" w:rsidR="003C37F3" w:rsidRPr="003C37F3" w:rsidRDefault="003C37F3" w:rsidP="003C37F3">
            <w:pPr>
              <w:spacing w:after="0" w:line="240" w:lineRule="auto"/>
              <w:rPr>
                <w:rFonts w:ascii="Arial" w:eastAsia="Times New Roman" w:hAnsi="Arial" w:cs="Arial"/>
                <w:color w:val="000000"/>
              </w:rPr>
            </w:pPr>
            <w:r w:rsidRPr="003C37F3">
              <w:rPr>
                <w:rFonts w:ascii="Arial" w:eastAsia="Times New Roman" w:hAnsi="Arial" w:cs="Arial"/>
                <w:color w:val="000000"/>
              </w:rPr>
              <w:t>Préstamos corporativos</w:t>
            </w:r>
          </w:p>
        </w:tc>
        <w:tc>
          <w:tcPr>
            <w:tcW w:w="1040" w:type="dxa"/>
            <w:tcBorders>
              <w:top w:val="nil"/>
              <w:left w:val="nil"/>
              <w:bottom w:val="nil"/>
              <w:right w:val="nil"/>
            </w:tcBorders>
            <w:shd w:val="clear" w:color="auto" w:fill="auto"/>
            <w:noWrap/>
            <w:vAlign w:val="bottom"/>
            <w:hideMark/>
          </w:tcPr>
          <w:p w14:paraId="12BA176B" w14:textId="77777777" w:rsidR="003C37F3" w:rsidRPr="003C37F3" w:rsidRDefault="003C37F3" w:rsidP="003C37F3">
            <w:pPr>
              <w:spacing w:after="0" w:line="240" w:lineRule="auto"/>
              <w:jc w:val="center"/>
              <w:rPr>
                <w:rFonts w:ascii="Arial" w:eastAsia="Times New Roman" w:hAnsi="Arial" w:cs="Arial"/>
                <w:color w:val="000000"/>
              </w:rPr>
            </w:pPr>
            <w:r w:rsidRPr="003C37F3">
              <w:rPr>
                <w:rFonts w:ascii="Arial" w:eastAsia="Times New Roman" w:hAnsi="Arial" w:cs="Arial"/>
                <w:color w:val="000000"/>
              </w:rPr>
              <w:t>%</w:t>
            </w:r>
          </w:p>
        </w:tc>
        <w:tc>
          <w:tcPr>
            <w:tcW w:w="1040" w:type="dxa"/>
            <w:tcBorders>
              <w:top w:val="nil"/>
              <w:left w:val="nil"/>
              <w:bottom w:val="nil"/>
              <w:right w:val="nil"/>
            </w:tcBorders>
            <w:shd w:val="clear" w:color="auto" w:fill="auto"/>
            <w:noWrap/>
            <w:vAlign w:val="bottom"/>
            <w:hideMark/>
          </w:tcPr>
          <w:p w14:paraId="08211A46" w14:textId="77777777" w:rsidR="003C37F3" w:rsidRPr="003C37F3" w:rsidRDefault="003C37F3" w:rsidP="003C37F3">
            <w:pPr>
              <w:spacing w:after="0" w:line="240" w:lineRule="auto"/>
              <w:jc w:val="center"/>
              <w:rPr>
                <w:rFonts w:ascii="Arial" w:eastAsia="Times New Roman" w:hAnsi="Arial" w:cs="Arial"/>
                <w:color w:val="000000"/>
              </w:rPr>
            </w:pPr>
            <w:r w:rsidRPr="003C37F3">
              <w:rPr>
                <w:rFonts w:ascii="Arial" w:eastAsia="Times New Roman" w:hAnsi="Arial" w:cs="Arial"/>
                <w:color w:val="000000"/>
              </w:rPr>
              <w:t>%</w:t>
            </w:r>
          </w:p>
        </w:tc>
        <w:tc>
          <w:tcPr>
            <w:tcW w:w="1040" w:type="dxa"/>
            <w:tcBorders>
              <w:top w:val="nil"/>
              <w:left w:val="nil"/>
              <w:bottom w:val="nil"/>
              <w:right w:val="nil"/>
            </w:tcBorders>
            <w:shd w:val="clear" w:color="auto" w:fill="auto"/>
            <w:noWrap/>
            <w:vAlign w:val="bottom"/>
            <w:hideMark/>
          </w:tcPr>
          <w:p w14:paraId="78F99DF5" w14:textId="77777777" w:rsidR="003C37F3" w:rsidRPr="003C37F3" w:rsidRDefault="003C37F3" w:rsidP="003C37F3">
            <w:pPr>
              <w:spacing w:after="0" w:line="240" w:lineRule="auto"/>
              <w:jc w:val="center"/>
              <w:rPr>
                <w:rFonts w:ascii="Arial" w:eastAsia="Times New Roman" w:hAnsi="Arial" w:cs="Arial"/>
                <w:color w:val="000000"/>
              </w:rPr>
            </w:pPr>
            <w:r w:rsidRPr="003C37F3">
              <w:rPr>
                <w:rFonts w:ascii="Arial" w:eastAsia="Times New Roman" w:hAnsi="Arial" w:cs="Arial"/>
                <w:color w:val="000000"/>
              </w:rPr>
              <w:t>%</w:t>
            </w:r>
          </w:p>
        </w:tc>
        <w:tc>
          <w:tcPr>
            <w:tcW w:w="1040" w:type="dxa"/>
            <w:tcBorders>
              <w:top w:val="nil"/>
              <w:left w:val="nil"/>
              <w:bottom w:val="nil"/>
              <w:right w:val="nil"/>
            </w:tcBorders>
            <w:shd w:val="clear" w:color="auto" w:fill="auto"/>
            <w:noWrap/>
            <w:vAlign w:val="bottom"/>
            <w:hideMark/>
          </w:tcPr>
          <w:p w14:paraId="1B2DB87E" w14:textId="77777777" w:rsidR="003C37F3" w:rsidRPr="003C37F3" w:rsidRDefault="003C37F3" w:rsidP="003C37F3">
            <w:pPr>
              <w:spacing w:after="0" w:line="240" w:lineRule="auto"/>
              <w:jc w:val="center"/>
              <w:rPr>
                <w:rFonts w:ascii="Arial" w:eastAsia="Times New Roman" w:hAnsi="Arial" w:cs="Arial"/>
                <w:color w:val="000000"/>
              </w:rPr>
            </w:pPr>
            <w:r w:rsidRPr="003C37F3">
              <w:rPr>
                <w:rFonts w:ascii="Arial" w:eastAsia="Times New Roman" w:hAnsi="Arial" w:cs="Arial"/>
                <w:color w:val="000000"/>
              </w:rPr>
              <w:t>%</w:t>
            </w:r>
          </w:p>
        </w:tc>
      </w:tr>
    </w:tbl>
    <w:p w14:paraId="05DDFCC1" w14:textId="77777777" w:rsidR="008B0C7D" w:rsidRDefault="008B0C7D" w:rsidP="003217EA">
      <w:pPr>
        <w:pStyle w:val="Default"/>
        <w:rPr>
          <w:sz w:val="22"/>
          <w:szCs w:val="22"/>
          <w:lang w:val="es-PA"/>
        </w:rPr>
      </w:pPr>
    </w:p>
    <w:tbl>
      <w:tblPr>
        <w:tblW w:w="7960" w:type="dxa"/>
        <w:tblLook w:val="04A0" w:firstRow="1" w:lastRow="0" w:firstColumn="1" w:lastColumn="0" w:noHBand="0" w:noVBand="1"/>
      </w:tblPr>
      <w:tblGrid>
        <w:gridCol w:w="4120"/>
        <w:gridCol w:w="960"/>
        <w:gridCol w:w="960"/>
        <w:gridCol w:w="960"/>
        <w:gridCol w:w="960"/>
      </w:tblGrid>
      <w:tr w:rsidR="00C94A11" w:rsidRPr="00E024EE" w14:paraId="4210351F" w14:textId="77777777" w:rsidTr="00CB2C76">
        <w:trPr>
          <w:trHeight w:val="288"/>
        </w:trPr>
        <w:tc>
          <w:tcPr>
            <w:tcW w:w="4120" w:type="dxa"/>
            <w:tcBorders>
              <w:top w:val="nil"/>
              <w:left w:val="nil"/>
              <w:bottom w:val="nil"/>
              <w:right w:val="nil"/>
            </w:tcBorders>
            <w:shd w:val="clear" w:color="auto" w:fill="auto"/>
            <w:noWrap/>
            <w:vAlign w:val="bottom"/>
          </w:tcPr>
          <w:p w14:paraId="7088124A" w14:textId="77777777" w:rsidR="00C94A11" w:rsidRPr="00E024EE" w:rsidRDefault="00C94A11" w:rsidP="00CB2C76">
            <w:pPr>
              <w:rPr>
                <w:rFonts w:ascii="Arial" w:eastAsia="Times New Roman" w:hAnsi="Arial" w:cs="Arial"/>
                <w:b/>
                <w:bCs/>
                <w:strike/>
                <w:color w:val="000000"/>
              </w:rPr>
            </w:pPr>
          </w:p>
        </w:tc>
        <w:tc>
          <w:tcPr>
            <w:tcW w:w="3840" w:type="dxa"/>
            <w:gridSpan w:val="4"/>
            <w:tcBorders>
              <w:top w:val="nil"/>
              <w:left w:val="nil"/>
              <w:bottom w:val="nil"/>
              <w:right w:val="nil"/>
            </w:tcBorders>
            <w:shd w:val="clear" w:color="auto" w:fill="auto"/>
            <w:noWrap/>
            <w:vAlign w:val="bottom"/>
          </w:tcPr>
          <w:p w14:paraId="2F3291CD" w14:textId="542C3AD7" w:rsidR="00C94A11" w:rsidRPr="00E024EE" w:rsidRDefault="00C94A11" w:rsidP="00C94A11">
            <w:pPr>
              <w:spacing w:after="0" w:line="240" w:lineRule="auto"/>
              <w:jc w:val="center"/>
              <w:rPr>
                <w:rFonts w:ascii="Arial" w:eastAsia="Times New Roman" w:hAnsi="Arial" w:cs="Arial"/>
                <w:strike/>
                <w:color w:val="000000"/>
              </w:rPr>
            </w:pPr>
          </w:p>
        </w:tc>
      </w:tr>
      <w:tr w:rsidR="00C94A11" w:rsidRPr="00E024EE" w14:paraId="52D52CDF" w14:textId="77777777" w:rsidTr="00CB2C76">
        <w:trPr>
          <w:trHeight w:val="288"/>
        </w:trPr>
        <w:tc>
          <w:tcPr>
            <w:tcW w:w="4120" w:type="dxa"/>
            <w:tcBorders>
              <w:top w:val="nil"/>
              <w:left w:val="nil"/>
              <w:bottom w:val="nil"/>
              <w:right w:val="nil"/>
            </w:tcBorders>
            <w:shd w:val="clear" w:color="auto" w:fill="auto"/>
            <w:noWrap/>
            <w:vAlign w:val="bottom"/>
          </w:tcPr>
          <w:p w14:paraId="02D2C354" w14:textId="77777777" w:rsidR="00C94A11" w:rsidRPr="00E024EE" w:rsidRDefault="00C94A11" w:rsidP="00C94A11">
            <w:pPr>
              <w:spacing w:after="0" w:line="240" w:lineRule="auto"/>
              <w:jc w:val="center"/>
              <w:rPr>
                <w:rFonts w:ascii="Arial" w:eastAsia="Times New Roman" w:hAnsi="Arial" w:cs="Arial"/>
                <w:strike/>
                <w:color w:val="000000"/>
              </w:rPr>
            </w:pPr>
          </w:p>
        </w:tc>
        <w:tc>
          <w:tcPr>
            <w:tcW w:w="960" w:type="dxa"/>
            <w:tcBorders>
              <w:top w:val="nil"/>
              <w:left w:val="nil"/>
              <w:bottom w:val="nil"/>
              <w:right w:val="nil"/>
            </w:tcBorders>
            <w:shd w:val="clear" w:color="auto" w:fill="auto"/>
            <w:noWrap/>
            <w:vAlign w:val="bottom"/>
          </w:tcPr>
          <w:p w14:paraId="6A9C118E" w14:textId="77777777" w:rsidR="00C94A11" w:rsidRPr="00E024EE" w:rsidRDefault="00C94A11" w:rsidP="00C94A11">
            <w:pPr>
              <w:spacing w:after="0" w:line="240" w:lineRule="auto"/>
              <w:rPr>
                <w:rFonts w:ascii="Times New Roman" w:eastAsia="Times New Roman" w:hAnsi="Times New Roman" w:cs="Times New Roman"/>
                <w:strike/>
                <w:sz w:val="20"/>
                <w:szCs w:val="20"/>
              </w:rPr>
            </w:pPr>
          </w:p>
        </w:tc>
        <w:tc>
          <w:tcPr>
            <w:tcW w:w="960" w:type="dxa"/>
            <w:tcBorders>
              <w:top w:val="nil"/>
              <w:left w:val="nil"/>
              <w:bottom w:val="nil"/>
              <w:right w:val="nil"/>
            </w:tcBorders>
            <w:shd w:val="clear" w:color="auto" w:fill="auto"/>
            <w:noWrap/>
            <w:vAlign w:val="bottom"/>
          </w:tcPr>
          <w:p w14:paraId="005A5C98" w14:textId="77777777" w:rsidR="00C94A11" w:rsidRPr="00E024EE" w:rsidRDefault="00C94A11" w:rsidP="00C94A11">
            <w:pPr>
              <w:spacing w:after="0" w:line="240" w:lineRule="auto"/>
              <w:jc w:val="center"/>
              <w:rPr>
                <w:rFonts w:ascii="Times New Roman" w:eastAsia="Times New Roman" w:hAnsi="Times New Roman" w:cs="Times New Roman"/>
                <w:strike/>
                <w:sz w:val="20"/>
                <w:szCs w:val="20"/>
              </w:rPr>
            </w:pPr>
          </w:p>
        </w:tc>
        <w:tc>
          <w:tcPr>
            <w:tcW w:w="960" w:type="dxa"/>
            <w:tcBorders>
              <w:top w:val="nil"/>
              <w:left w:val="nil"/>
              <w:bottom w:val="nil"/>
              <w:right w:val="nil"/>
            </w:tcBorders>
            <w:shd w:val="clear" w:color="auto" w:fill="auto"/>
            <w:noWrap/>
            <w:vAlign w:val="bottom"/>
            <w:hideMark/>
          </w:tcPr>
          <w:p w14:paraId="259EDBD5" w14:textId="77777777" w:rsidR="00C94A11" w:rsidRPr="00E024EE" w:rsidRDefault="00C94A11" w:rsidP="00C94A11">
            <w:pPr>
              <w:spacing w:after="0" w:line="240" w:lineRule="auto"/>
              <w:jc w:val="center"/>
              <w:rPr>
                <w:rFonts w:ascii="Times New Roman" w:eastAsia="Times New Roman" w:hAnsi="Times New Roman" w:cs="Times New Roman"/>
                <w:strike/>
                <w:sz w:val="20"/>
                <w:szCs w:val="20"/>
              </w:rPr>
            </w:pPr>
          </w:p>
        </w:tc>
        <w:tc>
          <w:tcPr>
            <w:tcW w:w="960" w:type="dxa"/>
            <w:tcBorders>
              <w:top w:val="nil"/>
              <w:left w:val="nil"/>
              <w:bottom w:val="nil"/>
              <w:right w:val="nil"/>
            </w:tcBorders>
            <w:shd w:val="clear" w:color="auto" w:fill="auto"/>
            <w:noWrap/>
            <w:vAlign w:val="bottom"/>
            <w:hideMark/>
          </w:tcPr>
          <w:p w14:paraId="5A643F17" w14:textId="77777777" w:rsidR="00C94A11" w:rsidRPr="00E024EE" w:rsidRDefault="00C94A11" w:rsidP="00C94A11">
            <w:pPr>
              <w:spacing w:after="0" w:line="240" w:lineRule="auto"/>
              <w:jc w:val="center"/>
              <w:rPr>
                <w:rFonts w:ascii="Times New Roman" w:eastAsia="Times New Roman" w:hAnsi="Times New Roman" w:cs="Times New Roman"/>
                <w:strike/>
                <w:sz w:val="20"/>
                <w:szCs w:val="20"/>
              </w:rPr>
            </w:pPr>
          </w:p>
        </w:tc>
      </w:tr>
      <w:tr w:rsidR="00C94A11" w:rsidRPr="00BE337F" w14:paraId="6E73FF56" w14:textId="77777777" w:rsidTr="00CB2C76">
        <w:trPr>
          <w:trHeight w:val="840"/>
        </w:trPr>
        <w:tc>
          <w:tcPr>
            <w:tcW w:w="4120" w:type="dxa"/>
            <w:tcBorders>
              <w:top w:val="nil"/>
              <w:left w:val="nil"/>
              <w:bottom w:val="nil"/>
              <w:right w:val="nil"/>
            </w:tcBorders>
            <w:shd w:val="clear" w:color="auto" w:fill="auto"/>
            <w:vAlign w:val="bottom"/>
          </w:tcPr>
          <w:p w14:paraId="572746D8" w14:textId="1F88AD80" w:rsidR="00C94A11" w:rsidRPr="00E024EE" w:rsidRDefault="00C94A11" w:rsidP="00C94A11">
            <w:pPr>
              <w:spacing w:after="0" w:line="240" w:lineRule="auto"/>
              <w:rPr>
                <w:rFonts w:ascii="Arial" w:eastAsia="Times New Roman" w:hAnsi="Arial" w:cs="Arial"/>
                <w:strike/>
                <w:color w:val="000000"/>
                <w:lang w:val="es-PA"/>
              </w:rPr>
            </w:pPr>
          </w:p>
        </w:tc>
        <w:tc>
          <w:tcPr>
            <w:tcW w:w="960" w:type="dxa"/>
            <w:tcBorders>
              <w:top w:val="nil"/>
              <w:left w:val="nil"/>
              <w:bottom w:val="nil"/>
              <w:right w:val="nil"/>
            </w:tcBorders>
            <w:shd w:val="clear" w:color="auto" w:fill="auto"/>
            <w:noWrap/>
            <w:vAlign w:val="bottom"/>
          </w:tcPr>
          <w:p w14:paraId="18D5B286" w14:textId="3122CFBF" w:rsidR="00C94A11" w:rsidRPr="00E024EE" w:rsidRDefault="00C94A11" w:rsidP="00C94A11">
            <w:pPr>
              <w:spacing w:after="0" w:line="240" w:lineRule="auto"/>
              <w:jc w:val="center"/>
              <w:rPr>
                <w:rFonts w:ascii="Arial" w:eastAsia="Times New Roman" w:hAnsi="Arial" w:cs="Arial"/>
                <w:strike/>
                <w:color w:val="000000"/>
                <w:lang w:val="es-PA"/>
              </w:rPr>
            </w:pPr>
          </w:p>
        </w:tc>
        <w:tc>
          <w:tcPr>
            <w:tcW w:w="960" w:type="dxa"/>
            <w:tcBorders>
              <w:top w:val="nil"/>
              <w:left w:val="nil"/>
              <w:bottom w:val="nil"/>
              <w:right w:val="nil"/>
            </w:tcBorders>
            <w:shd w:val="clear" w:color="auto" w:fill="auto"/>
            <w:noWrap/>
            <w:vAlign w:val="bottom"/>
          </w:tcPr>
          <w:p w14:paraId="592E814A" w14:textId="3FDA34A7" w:rsidR="00C94A11" w:rsidRPr="00E024EE" w:rsidRDefault="00C94A11" w:rsidP="00C94A11">
            <w:pPr>
              <w:spacing w:after="0" w:line="240" w:lineRule="auto"/>
              <w:jc w:val="center"/>
              <w:rPr>
                <w:rFonts w:ascii="Arial" w:eastAsia="Times New Roman" w:hAnsi="Arial" w:cs="Arial"/>
                <w:strike/>
                <w:color w:val="000000"/>
                <w:lang w:val="es-PA"/>
              </w:rPr>
            </w:pPr>
          </w:p>
        </w:tc>
        <w:tc>
          <w:tcPr>
            <w:tcW w:w="960" w:type="dxa"/>
            <w:tcBorders>
              <w:top w:val="nil"/>
              <w:left w:val="nil"/>
              <w:bottom w:val="nil"/>
              <w:right w:val="nil"/>
            </w:tcBorders>
            <w:shd w:val="clear" w:color="auto" w:fill="auto"/>
            <w:noWrap/>
            <w:vAlign w:val="bottom"/>
            <w:hideMark/>
          </w:tcPr>
          <w:p w14:paraId="6822E014" w14:textId="77777777" w:rsidR="00C94A11" w:rsidRPr="00E024EE" w:rsidRDefault="00C94A11" w:rsidP="00C94A11">
            <w:pPr>
              <w:spacing w:after="0" w:line="240" w:lineRule="auto"/>
              <w:jc w:val="center"/>
              <w:rPr>
                <w:rFonts w:ascii="Arial" w:eastAsia="Times New Roman" w:hAnsi="Arial" w:cs="Arial"/>
                <w:strike/>
                <w:color w:val="000000"/>
                <w:lang w:val="es-PA"/>
              </w:rPr>
            </w:pPr>
            <w:r w:rsidRPr="00E024EE">
              <w:rPr>
                <w:rFonts w:ascii="Arial" w:eastAsia="Times New Roman" w:hAnsi="Arial" w:cs="Arial"/>
                <w:strike/>
                <w:color w:val="000000"/>
                <w:lang w:val="es-PA"/>
              </w:rPr>
              <w:t xml:space="preserve"> </w:t>
            </w:r>
          </w:p>
        </w:tc>
        <w:tc>
          <w:tcPr>
            <w:tcW w:w="960" w:type="dxa"/>
            <w:tcBorders>
              <w:top w:val="nil"/>
              <w:left w:val="nil"/>
              <w:bottom w:val="nil"/>
              <w:right w:val="nil"/>
            </w:tcBorders>
            <w:shd w:val="clear" w:color="auto" w:fill="auto"/>
            <w:noWrap/>
            <w:vAlign w:val="bottom"/>
            <w:hideMark/>
          </w:tcPr>
          <w:p w14:paraId="1CFB4432" w14:textId="77777777" w:rsidR="00C94A11" w:rsidRPr="00E024EE" w:rsidRDefault="00C94A11" w:rsidP="00C94A11">
            <w:pPr>
              <w:spacing w:after="0" w:line="240" w:lineRule="auto"/>
              <w:jc w:val="center"/>
              <w:rPr>
                <w:rFonts w:ascii="Arial" w:eastAsia="Times New Roman" w:hAnsi="Arial" w:cs="Arial"/>
                <w:strike/>
                <w:color w:val="000000"/>
                <w:lang w:val="es-PA"/>
              </w:rPr>
            </w:pPr>
          </w:p>
        </w:tc>
      </w:tr>
      <w:tr w:rsidR="00C94A11" w:rsidRPr="00BE337F" w14:paraId="10A851D1" w14:textId="77777777" w:rsidTr="00CB2C76">
        <w:trPr>
          <w:trHeight w:val="840"/>
        </w:trPr>
        <w:tc>
          <w:tcPr>
            <w:tcW w:w="4120" w:type="dxa"/>
            <w:tcBorders>
              <w:top w:val="nil"/>
              <w:left w:val="nil"/>
              <w:bottom w:val="nil"/>
              <w:right w:val="nil"/>
            </w:tcBorders>
            <w:shd w:val="clear" w:color="auto" w:fill="auto"/>
            <w:vAlign w:val="bottom"/>
          </w:tcPr>
          <w:p w14:paraId="731789E3" w14:textId="1E453C2F" w:rsidR="00C94A11" w:rsidRPr="00E024EE" w:rsidRDefault="00C94A11" w:rsidP="00C94A11">
            <w:pPr>
              <w:spacing w:after="0" w:line="240" w:lineRule="auto"/>
              <w:rPr>
                <w:rFonts w:ascii="Arial" w:eastAsia="Times New Roman" w:hAnsi="Arial" w:cs="Arial"/>
                <w:strike/>
                <w:color w:val="000000"/>
                <w:lang w:val="es-PA"/>
              </w:rPr>
            </w:pPr>
          </w:p>
        </w:tc>
        <w:tc>
          <w:tcPr>
            <w:tcW w:w="960" w:type="dxa"/>
            <w:tcBorders>
              <w:top w:val="nil"/>
              <w:left w:val="nil"/>
              <w:bottom w:val="nil"/>
              <w:right w:val="nil"/>
            </w:tcBorders>
            <w:shd w:val="clear" w:color="auto" w:fill="auto"/>
            <w:noWrap/>
            <w:vAlign w:val="bottom"/>
          </w:tcPr>
          <w:p w14:paraId="6911CF36" w14:textId="733DA08D" w:rsidR="00C94A11" w:rsidRPr="00E024EE" w:rsidRDefault="00C94A11" w:rsidP="00C94A11">
            <w:pPr>
              <w:spacing w:after="0" w:line="240" w:lineRule="auto"/>
              <w:jc w:val="center"/>
              <w:rPr>
                <w:rFonts w:ascii="Arial" w:eastAsia="Times New Roman" w:hAnsi="Arial" w:cs="Arial"/>
                <w:strike/>
                <w:color w:val="000000"/>
                <w:lang w:val="es-PA"/>
              </w:rPr>
            </w:pPr>
          </w:p>
        </w:tc>
        <w:tc>
          <w:tcPr>
            <w:tcW w:w="960" w:type="dxa"/>
            <w:tcBorders>
              <w:top w:val="nil"/>
              <w:left w:val="nil"/>
              <w:bottom w:val="nil"/>
              <w:right w:val="nil"/>
            </w:tcBorders>
            <w:shd w:val="clear" w:color="auto" w:fill="auto"/>
            <w:noWrap/>
            <w:vAlign w:val="bottom"/>
          </w:tcPr>
          <w:p w14:paraId="6B472D4C" w14:textId="5974DC8B" w:rsidR="00C94A11" w:rsidRPr="00E024EE" w:rsidRDefault="00C94A11" w:rsidP="00C94A11">
            <w:pPr>
              <w:spacing w:after="0" w:line="240" w:lineRule="auto"/>
              <w:jc w:val="center"/>
              <w:rPr>
                <w:rFonts w:ascii="Arial" w:eastAsia="Times New Roman" w:hAnsi="Arial" w:cs="Arial"/>
                <w:strike/>
                <w:color w:val="000000"/>
                <w:lang w:val="es-PA"/>
              </w:rPr>
            </w:pPr>
          </w:p>
        </w:tc>
        <w:tc>
          <w:tcPr>
            <w:tcW w:w="960" w:type="dxa"/>
            <w:tcBorders>
              <w:top w:val="nil"/>
              <w:left w:val="nil"/>
              <w:bottom w:val="nil"/>
              <w:right w:val="nil"/>
            </w:tcBorders>
            <w:shd w:val="clear" w:color="auto" w:fill="auto"/>
            <w:noWrap/>
            <w:vAlign w:val="bottom"/>
            <w:hideMark/>
          </w:tcPr>
          <w:p w14:paraId="24A19EEB" w14:textId="77777777" w:rsidR="00C94A11" w:rsidRPr="00E024EE" w:rsidRDefault="00C94A11" w:rsidP="00C94A11">
            <w:pPr>
              <w:spacing w:after="0" w:line="240" w:lineRule="auto"/>
              <w:jc w:val="center"/>
              <w:rPr>
                <w:rFonts w:ascii="Arial" w:eastAsia="Times New Roman" w:hAnsi="Arial" w:cs="Arial"/>
                <w:strike/>
                <w:color w:val="000000"/>
                <w:lang w:val="es-PA"/>
              </w:rPr>
            </w:pPr>
            <w:r w:rsidRPr="00E024EE">
              <w:rPr>
                <w:rFonts w:ascii="Arial" w:eastAsia="Times New Roman" w:hAnsi="Arial" w:cs="Arial"/>
                <w:strike/>
                <w:color w:val="000000"/>
                <w:lang w:val="es-PA"/>
              </w:rPr>
              <w:t xml:space="preserve"> </w:t>
            </w:r>
          </w:p>
        </w:tc>
        <w:tc>
          <w:tcPr>
            <w:tcW w:w="960" w:type="dxa"/>
            <w:tcBorders>
              <w:top w:val="nil"/>
              <w:left w:val="nil"/>
              <w:bottom w:val="nil"/>
              <w:right w:val="nil"/>
            </w:tcBorders>
            <w:shd w:val="clear" w:color="auto" w:fill="auto"/>
            <w:noWrap/>
            <w:vAlign w:val="bottom"/>
            <w:hideMark/>
          </w:tcPr>
          <w:p w14:paraId="675A5CD5" w14:textId="77777777" w:rsidR="00C94A11" w:rsidRPr="00E024EE" w:rsidRDefault="00C94A11" w:rsidP="00C94A11">
            <w:pPr>
              <w:spacing w:after="0" w:line="240" w:lineRule="auto"/>
              <w:jc w:val="center"/>
              <w:rPr>
                <w:rFonts w:ascii="Arial" w:eastAsia="Times New Roman" w:hAnsi="Arial" w:cs="Arial"/>
                <w:strike/>
                <w:color w:val="000000"/>
                <w:lang w:val="es-PA"/>
              </w:rPr>
            </w:pPr>
          </w:p>
        </w:tc>
      </w:tr>
      <w:tr w:rsidR="00C94A11" w:rsidRPr="00BE337F" w14:paraId="4A97D9E7" w14:textId="77777777" w:rsidTr="00C94A11">
        <w:trPr>
          <w:trHeight w:val="288"/>
        </w:trPr>
        <w:tc>
          <w:tcPr>
            <w:tcW w:w="4120" w:type="dxa"/>
            <w:tcBorders>
              <w:top w:val="nil"/>
              <w:left w:val="nil"/>
              <w:bottom w:val="nil"/>
              <w:right w:val="nil"/>
            </w:tcBorders>
            <w:shd w:val="clear" w:color="auto" w:fill="auto"/>
            <w:noWrap/>
            <w:vAlign w:val="bottom"/>
            <w:hideMark/>
          </w:tcPr>
          <w:p w14:paraId="24576AC3" w14:textId="77777777" w:rsidR="00C94A11" w:rsidRPr="00C94A11" w:rsidRDefault="00C94A11" w:rsidP="00C94A11">
            <w:pPr>
              <w:spacing w:after="0" w:line="240" w:lineRule="auto"/>
              <w:rPr>
                <w:rFonts w:ascii="Times New Roman" w:eastAsia="Times New Roman" w:hAnsi="Times New Roman" w:cs="Times New Roman"/>
                <w:sz w:val="20"/>
                <w:szCs w:val="20"/>
                <w:lang w:val="es-PA"/>
              </w:rPr>
            </w:pPr>
          </w:p>
        </w:tc>
        <w:tc>
          <w:tcPr>
            <w:tcW w:w="960" w:type="dxa"/>
            <w:tcBorders>
              <w:top w:val="nil"/>
              <w:left w:val="nil"/>
              <w:bottom w:val="nil"/>
              <w:right w:val="nil"/>
            </w:tcBorders>
            <w:shd w:val="clear" w:color="auto" w:fill="auto"/>
            <w:noWrap/>
            <w:vAlign w:val="bottom"/>
            <w:hideMark/>
          </w:tcPr>
          <w:p w14:paraId="48A77848" w14:textId="77777777" w:rsidR="00C94A11" w:rsidRPr="00C94A11" w:rsidRDefault="00C94A11" w:rsidP="00C94A11">
            <w:pPr>
              <w:spacing w:after="0" w:line="240" w:lineRule="auto"/>
              <w:rPr>
                <w:rFonts w:ascii="Times New Roman" w:eastAsia="Times New Roman" w:hAnsi="Times New Roman" w:cs="Times New Roman"/>
                <w:sz w:val="20"/>
                <w:szCs w:val="20"/>
                <w:lang w:val="es-PA"/>
              </w:rPr>
            </w:pPr>
          </w:p>
        </w:tc>
        <w:tc>
          <w:tcPr>
            <w:tcW w:w="960" w:type="dxa"/>
            <w:tcBorders>
              <w:top w:val="nil"/>
              <w:left w:val="nil"/>
              <w:bottom w:val="nil"/>
              <w:right w:val="nil"/>
            </w:tcBorders>
            <w:shd w:val="clear" w:color="auto" w:fill="auto"/>
            <w:noWrap/>
            <w:vAlign w:val="bottom"/>
            <w:hideMark/>
          </w:tcPr>
          <w:p w14:paraId="5BBE39E5" w14:textId="77777777" w:rsidR="00C94A11" w:rsidRPr="00C94A11" w:rsidRDefault="00C94A11" w:rsidP="00C94A11">
            <w:pPr>
              <w:spacing w:after="0" w:line="240" w:lineRule="auto"/>
              <w:rPr>
                <w:rFonts w:ascii="Times New Roman" w:eastAsia="Times New Roman" w:hAnsi="Times New Roman" w:cs="Times New Roman"/>
                <w:sz w:val="20"/>
                <w:szCs w:val="20"/>
                <w:lang w:val="es-PA"/>
              </w:rPr>
            </w:pPr>
          </w:p>
        </w:tc>
        <w:tc>
          <w:tcPr>
            <w:tcW w:w="960" w:type="dxa"/>
            <w:tcBorders>
              <w:top w:val="nil"/>
              <w:left w:val="nil"/>
              <w:bottom w:val="nil"/>
              <w:right w:val="nil"/>
            </w:tcBorders>
            <w:shd w:val="clear" w:color="auto" w:fill="auto"/>
            <w:noWrap/>
            <w:vAlign w:val="bottom"/>
            <w:hideMark/>
          </w:tcPr>
          <w:p w14:paraId="2BBFFAEE" w14:textId="77777777" w:rsidR="00C94A11" w:rsidRPr="00C94A11" w:rsidRDefault="00C94A11" w:rsidP="00C94A11">
            <w:pPr>
              <w:spacing w:after="0" w:line="240" w:lineRule="auto"/>
              <w:rPr>
                <w:rFonts w:ascii="Times New Roman" w:eastAsia="Times New Roman" w:hAnsi="Times New Roman" w:cs="Times New Roman"/>
                <w:sz w:val="20"/>
                <w:szCs w:val="20"/>
                <w:lang w:val="es-PA"/>
              </w:rPr>
            </w:pPr>
          </w:p>
        </w:tc>
        <w:tc>
          <w:tcPr>
            <w:tcW w:w="960" w:type="dxa"/>
            <w:tcBorders>
              <w:top w:val="nil"/>
              <w:left w:val="nil"/>
              <w:bottom w:val="nil"/>
              <w:right w:val="nil"/>
            </w:tcBorders>
            <w:shd w:val="clear" w:color="auto" w:fill="auto"/>
            <w:noWrap/>
            <w:vAlign w:val="bottom"/>
            <w:hideMark/>
          </w:tcPr>
          <w:p w14:paraId="7F0A5626" w14:textId="77777777" w:rsidR="00C94A11" w:rsidRPr="00C94A11" w:rsidRDefault="00C94A11" w:rsidP="00C94A11">
            <w:pPr>
              <w:spacing w:after="0" w:line="240" w:lineRule="auto"/>
              <w:rPr>
                <w:rFonts w:ascii="Times New Roman" w:eastAsia="Times New Roman" w:hAnsi="Times New Roman" w:cs="Times New Roman"/>
                <w:sz w:val="20"/>
                <w:szCs w:val="20"/>
                <w:lang w:val="es-PA"/>
              </w:rPr>
            </w:pPr>
          </w:p>
        </w:tc>
      </w:tr>
    </w:tbl>
    <w:p w14:paraId="3E8F548D" w14:textId="67F7F0E3" w:rsidR="00CA0332" w:rsidRDefault="002028F0" w:rsidP="003D3364">
      <w:pPr>
        <w:jc w:val="both"/>
        <w:rPr>
          <w:rFonts w:ascii="Arial" w:hAnsi="Arial" w:cs="Arial"/>
          <w:lang w:val="es-PA"/>
        </w:rPr>
      </w:pPr>
      <w:r>
        <w:rPr>
          <w:rFonts w:ascii="Arial" w:hAnsi="Arial" w:cs="Arial"/>
          <w:lang w:val="es-PA"/>
        </w:rPr>
        <w:lastRenderedPageBreak/>
        <w:t>Como se mencionó al inicio de esta nota, e</w:t>
      </w:r>
      <w:r w:rsidR="00CA0332">
        <w:rPr>
          <w:rFonts w:ascii="Arial" w:hAnsi="Arial" w:cs="Arial"/>
          <w:lang w:val="es-PA"/>
        </w:rPr>
        <w:t>l 11 de septiembre de 2020, la Superintendencia de Bancos emitió el Acuerdo No. 9-2020 que modifica el Acuerdo No. 2-2020 de 16 de marzo de 2020, mediante el cual, entre otras cosas define que l</w:t>
      </w:r>
      <w:r w:rsidR="00CA0332" w:rsidRPr="00CA0332">
        <w:rPr>
          <w:rFonts w:ascii="Arial" w:hAnsi="Arial" w:cs="Arial"/>
          <w:lang w:val="es-PA"/>
        </w:rPr>
        <w:t xml:space="preserve">os préstamos clasificados como normales y mención especial, así como los préstamos reestructurados que se encuentren sin atraso, podrán ser modificados conforme con los lineamientos establecidos en el </w:t>
      </w:r>
      <w:r w:rsidR="00CA0332">
        <w:rPr>
          <w:rFonts w:ascii="Arial" w:hAnsi="Arial" w:cs="Arial"/>
          <w:lang w:val="es-PA"/>
        </w:rPr>
        <w:t>mencionado</w:t>
      </w:r>
      <w:r w:rsidR="00CA0332" w:rsidRPr="00CA0332">
        <w:rPr>
          <w:rFonts w:ascii="Arial" w:hAnsi="Arial" w:cs="Arial"/>
          <w:lang w:val="es-PA"/>
        </w:rPr>
        <w:t xml:space="preserve"> Acuerdo.</w:t>
      </w:r>
      <w:r w:rsidR="00CA0332">
        <w:rPr>
          <w:rFonts w:ascii="Arial" w:hAnsi="Arial" w:cs="Arial"/>
          <w:lang w:val="es-PA"/>
        </w:rPr>
        <w:t xml:space="preserve"> Por otra parte, estos </w:t>
      </w:r>
      <w:r w:rsidR="005B7497">
        <w:rPr>
          <w:rFonts w:ascii="Arial" w:hAnsi="Arial" w:cs="Arial"/>
          <w:lang w:val="es-PA"/>
        </w:rPr>
        <w:t xml:space="preserve">préstamos </w:t>
      </w:r>
      <w:r w:rsidR="00CA0332">
        <w:rPr>
          <w:rFonts w:ascii="Arial" w:hAnsi="Arial" w:cs="Arial"/>
          <w:lang w:val="es-PA"/>
        </w:rPr>
        <w:t>modificados</w:t>
      </w:r>
      <w:r w:rsidR="00C64258">
        <w:rPr>
          <w:rFonts w:ascii="Arial" w:hAnsi="Arial" w:cs="Arial"/>
          <w:lang w:val="es-PA"/>
        </w:rPr>
        <w:t xml:space="preserve"> en categoría normal y mención especial</w:t>
      </w:r>
      <w:r w:rsidR="005B7497">
        <w:rPr>
          <w:rFonts w:ascii="Arial" w:hAnsi="Arial" w:cs="Arial"/>
          <w:lang w:val="es-PA"/>
        </w:rPr>
        <w:t xml:space="preserve"> se clasificarán en la categoría “mención especial modificado” para efecto de la determinación de las respectivas provisiones.</w:t>
      </w:r>
      <w:r w:rsidR="00C64258">
        <w:rPr>
          <w:rFonts w:ascii="Arial" w:hAnsi="Arial" w:cs="Arial"/>
          <w:lang w:val="es-PA"/>
        </w:rPr>
        <w:t xml:space="preserve"> Los préstamos reestructurados modificados que se encontraban en la categoría de subnormal, dudoso o irrecuperable mantendrán la clasificación de crédito que tenían al momento de su modificación con su respectiva provisión.</w:t>
      </w:r>
    </w:p>
    <w:p w14:paraId="1BAB72B3" w14:textId="68D7E39D" w:rsidR="000B3249" w:rsidRPr="00BB7EAE" w:rsidRDefault="00D6570B" w:rsidP="003D3364">
      <w:pPr>
        <w:jc w:val="both"/>
        <w:rPr>
          <w:rFonts w:ascii="Arial" w:hAnsi="Arial" w:cs="Arial"/>
          <w:strike/>
          <w:lang w:val="es-PA"/>
        </w:rPr>
      </w:pPr>
      <w:r>
        <w:rPr>
          <w:rFonts w:ascii="Arial" w:hAnsi="Arial" w:cs="Arial"/>
          <w:lang w:val="es-PA"/>
        </w:rPr>
        <w:t>De conformidad con el acuerdo mencionado en el párrafo anterior</w:t>
      </w:r>
      <w:r w:rsidR="000B3249">
        <w:rPr>
          <w:rFonts w:ascii="Arial" w:hAnsi="Arial" w:cs="Arial"/>
          <w:lang w:val="es-PA"/>
        </w:rPr>
        <w:t xml:space="preserve">, sobre la cartera de préstamos mención especial modificado </w:t>
      </w:r>
      <w:r w:rsidR="000B3249" w:rsidRPr="000B3249">
        <w:rPr>
          <w:rFonts w:ascii="Arial" w:hAnsi="Arial" w:cs="Arial"/>
          <w:lang w:val="es-PA"/>
        </w:rPr>
        <w:t xml:space="preserve">los bancos </w:t>
      </w:r>
      <w:r w:rsidR="00185519">
        <w:rPr>
          <w:rFonts w:ascii="Arial" w:hAnsi="Arial" w:cs="Arial"/>
          <w:lang w:val="es-PA"/>
        </w:rPr>
        <w:t>debían constituir</w:t>
      </w:r>
      <w:r w:rsidR="000B3249" w:rsidRPr="000B3249">
        <w:rPr>
          <w:rFonts w:ascii="Arial" w:hAnsi="Arial" w:cs="Arial"/>
          <w:lang w:val="es-PA"/>
        </w:rPr>
        <w:t xml:space="preserve"> una provisión equivalente al mayor valor entre la provisión según NIIF de la cartera mención especial modificado y una provisión genérica equivalente a tres por ciento (3%) del saldo bruto de la cartera de préstamos modificados, incluyendo intereses acumulados no cobrados y gastos capitalizados; pudiendo excluirse de este cálculo aquellos créditos modificados garantizados con depósitos pignorados en el mismo banco hasta por el monto garantizado. </w:t>
      </w:r>
    </w:p>
    <w:p w14:paraId="6DC6BB1B" w14:textId="29CFCD60" w:rsidR="00BB7EAE" w:rsidRPr="00AF5F41" w:rsidRDefault="00BB7EAE" w:rsidP="003D3364">
      <w:pPr>
        <w:jc w:val="both"/>
        <w:rPr>
          <w:rFonts w:ascii="Arial" w:hAnsi="Arial" w:cs="Arial"/>
          <w:lang w:val="es-PA"/>
        </w:rPr>
      </w:pPr>
      <w:r w:rsidRPr="00BB7EAE">
        <w:rPr>
          <w:rFonts w:ascii="Arial" w:hAnsi="Arial" w:cs="Arial"/>
          <w:lang w:val="es-PA"/>
        </w:rPr>
        <w:t>Mediante Acuerdo</w:t>
      </w:r>
      <w:r w:rsidR="00AF5F41">
        <w:rPr>
          <w:rFonts w:ascii="Arial" w:hAnsi="Arial" w:cs="Arial"/>
          <w:lang w:val="es-PA"/>
        </w:rPr>
        <w:t xml:space="preserve"> No.</w:t>
      </w:r>
      <w:r w:rsidRPr="00BB7EAE">
        <w:rPr>
          <w:rFonts w:ascii="Arial" w:hAnsi="Arial" w:cs="Arial"/>
          <w:lang w:val="es-PA"/>
        </w:rPr>
        <w:t xml:space="preserve"> </w:t>
      </w:r>
      <w:r w:rsidR="00AF5F41">
        <w:rPr>
          <w:rFonts w:ascii="Arial" w:hAnsi="Arial" w:cs="Arial"/>
          <w:lang w:val="es-PA"/>
        </w:rPr>
        <w:t>6</w:t>
      </w:r>
      <w:r w:rsidRPr="00BB7EAE">
        <w:rPr>
          <w:rFonts w:ascii="Arial" w:hAnsi="Arial" w:cs="Arial"/>
          <w:lang w:val="es-PA"/>
        </w:rPr>
        <w:t>-2021</w:t>
      </w:r>
      <w:r>
        <w:rPr>
          <w:rFonts w:ascii="Arial" w:hAnsi="Arial" w:cs="Arial"/>
          <w:lang w:val="es-PA"/>
        </w:rPr>
        <w:t xml:space="preserve">, la Superintendencia derogó el artículo que requería la provisión genérica indicada en el párrafo anterior, sin embargo, </w:t>
      </w:r>
      <w:r w:rsidR="00AF5F41" w:rsidRPr="00AF5F41">
        <w:rPr>
          <w:rFonts w:ascii="Arial" w:hAnsi="Arial" w:cs="Arial"/>
          <w:lang w:val="es-PA"/>
        </w:rPr>
        <w:t>tomando en consideración las nuevas circunstancias derivadas de la COVID-19 y el incremento significativo de riesgo derivado del paso del tiempo, las entidades bancarias no podrán reversar las provisiones previamente constituidas (por resultados o por patrimonio) al corte de noviembre de 2021 para la totalidad de la cartera modificada a esa fecha, de conformidad a lo que establecía el artículo 8 del Acuerdo No. 2-2021.</w:t>
      </w:r>
    </w:p>
    <w:p w14:paraId="25BF9753" w14:textId="0AB9E65A" w:rsidR="005B7497" w:rsidRPr="00AF5F41" w:rsidRDefault="00AF5F41" w:rsidP="003D3364">
      <w:pPr>
        <w:jc w:val="both"/>
        <w:rPr>
          <w:rFonts w:ascii="Arial" w:hAnsi="Arial" w:cs="Arial"/>
          <w:lang w:val="es-PA"/>
        </w:rPr>
      </w:pPr>
      <w:r w:rsidRPr="00AF5F41">
        <w:rPr>
          <w:rFonts w:ascii="Arial" w:hAnsi="Arial" w:cs="Arial"/>
          <w:lang w:val="es-PA"/>
        </w:rPr>
        <w:t>No obstante lo anterior, en el evento que un crédito modificado sea reestablecido a la aplicación del Acuerdo No. 4-2013 en la categoría normal, las entidades bancarias podrán utilizar de la provisión previamente constituida la porción que le corresponda para constituir la provisión NIIF requerida. Esta disposición estará vigente hasta tanto la Superintendencia lo determine, en función del comportamiento futuro de la cartera modificada.</w:t>
      </w:r>
    </w:p>
    <w:p w14:paraId="18C6C78A" w14:textId="2DE12F0D" w:rsidR="00AF5F41" w:rsidRPr="00CB2C76" w:rsidRDefault="00AF5F41" w:rsidP="003D3364">
      <w:pPr>
        <w:jc w:val="both"/>
        <w:rPr>
          <w:rFonts w:ascii="Arial" w:hAnsi="Arial" w:cs="Arial"/>
          <w:lang w:val="es-PA"/>
        </w:rPr>
      </w:pPr>
      <w:r w:rsidRPr="00CB2C76">
        <w:rPr>
          <w:rFonts w:ascii="Arial" w:hAnsi="Arial" w:cs="Arial"/>
          <w:lang w:val="es-PA"/>
        </w:rPr>
        <w:t xml:space="preserve">Debido a que las provisiones NIIF </w:t>
      </w:r>
      <w:r w:rsidR="00CB2C76" w:rsidRPr="00CB2C76">
        <w:rPr>
          <w:rFonts w:ascii="Arial" w:hAnsi="Arial" w:cs="Arial"/>
          <w:lang w:val="es-PA"/>
        </w:rPr>
        <w:t xml:space="preserve">al 31 de diciembre de 2021 </w:t>
      </w:r>
      <w:r w:rsidRPr="00CB2C76">
        <w:rPr>
          <w:rFonts w:ascii="Arial" w:hAnsi="Arial" w:cs="Arial"/>
          <w:lang w:val="es-PA"/>
        </w:rPr>
        <w:t>superan las provisiones</w:t>
      </w:r>
      <w:r w:rsidR="00CB2C76" w:rsidRPr="00CB2C76">
        <w:rPr>
          <w:rFonts w:ascii="Arial" w:hAnsi="Arial" w:cs="Arial"/>
          <w:lang w:val="es-PA"/>
        </w:rPr>
        <w:t xml:space="preserve"> NIIF y regulatorias no reversadas al cierre de noviembre de 2021, estas normas no afectan la aplicación de las NIIF en su conjunto. (Alternativamente indicar el impacto).</w:t>
      </w:r>
    </w:p>
    <w:p w14:paraId="1B7C0DC2" w14:textId="77777777" w:rsidR="00AF5F41" w:rsidRPr="00AF5F41" w:rsidRDefault="00AF5F41" w:rsidP="00064DB4">
      <w:pPr>
        <w:rPr>
          <w:rFonts w:ascii="Arial" w:hAnsi="Arial" w:cs="Arial"/>
          <w:strike/>
          <w:lang w:val="es-PA"/>
        </w:rPr>
      </w:pPr>
    </w:p>
    <w:p w14:paraId="421D1568" w14:textId="77777777" w:rsidR="005B7497" w:rsidRPr="00BB7EAE" w:rsidRDefault="005B7497" w:rsidP="00064DB4">
      <w:pPr>
        <w:rPr>
          <w:rFonts w:ascii="Arial" w:hAnsi="Arial" w:cs="Arial"/>
          <w:strike/>
          <w:lang w:val="es-PA"/>
        </w:rPr>
      </w:pPr>
    </w:p>
    <w:p w14:paraId="1CFE3A77" w14:textId="77777777" w:rsidR="00DD48FA" w:rsidRPr="00BB7EAE" w:rsidRDefault="00CA0332" w:rsidP="00064DB4">
      <w:pPr>
        <w:rPr>
          <w:rFonts w:ascii="Arial" w:hAnsi="Arial" w:cs="Arial"/>
          <w:strike/>
          <w:lang w:val="es-PA"/>
        </w:rPr>
      </w:pPr>
      <w:r w:rsidRPr="00BB7EAE">
        <w:rPr>
          <w:rFonts w:ascii="Arial" w:hAnsi="Arial" w:cs="Arial"/>
          <w:strike/>
          <w:lang w:val="es-PA"/>
        </w:rPr>
        <w:t xml:space="preserve"> </w:t>
      </w:r>
    </w:p>
    <w:p w14:paraId="6015972F" w14:textId="77777777" w:rsidR="00DD48FA" w:rsidRDefault="00DD48FA" w:rsidP="00064DB4">
      <w:pPr>
        <w:rPr>
          <w:rFonts w:ascii="Arial" w:hAnsi="Arial" w:cs="Arial"/>
          <w:lang w:val="es-PA"/>
        </w:rPr>
      </w:pPr>
    </w:p>
    <w:p w14:paraId="3755C981" w14:textId="77777777" w:rsidR="00BB3688" w:rsidRDefault="00BB3688" w:rsidP="00064DB4">
      <w:pPr>
        <w:rPr>
          <w:rFonts w:ascii="Arial" w:hAnsi="Arial" w:cs="Arial"/>
          <w:lang w:val="es-PA"/>
        </w:rPr>
      </w:pPr>
    </w:p>
    <w:p w14:paraId="71203520" w14:textId="77777777" w:rsidR="00BB3688" w:rsidRDefault="00BB3688" w:rsidP="00064DB4">
      <w:pPr>
        <w:rPr>
          <w:rFonts w:ascii="Arial" w:hAnsi="Arial" w:cs="Arial"/>
          <w:lang w:val="es-PA"/>
        </w:rPr>
      </w:pPr>
    </w:p>
    <w:p w14:paraId="7BA2EF9A" w14:textId="77777777" w:rsidR="00064DB4" w:rsidRPr="00064DB4" w:rsidRDefault="00064DB4" w:rsidP="00064DB4">
      <w:pPr>
        <w:rPr>
          <w:rFonts w:ascii="Arial" w:hAnsi="Arial" w:cs="Arial"/>
          <w:lang w:val="es-PA"/>
        </w:rPr>
      </w:pPr>
    </w:p>
    <w:sectPr w:rsidR="00064DB4" w:rsidRPr="00064DB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3A2CA" w14:textId="77777777" w:rsidR="00BD240E" w:rsidRDefault="00BD240E" w:rsidP="003D3364">
      <w:pPr>
        <w:spacing w:after="0" w:line="240" w:lineRule="auto"/>
      </w:pPr>
      <w:r>
        <w:separator/>
      </w:r>
    </w:p>
  </w:endnote>
  <w:endnote w:type="continuationSeparator" w:id="0">
    <w:p w14:paraId="495BB8C1" w14:textId="77777777" w:rsidR="00BD240E" w:rsidRDefault="00BD240E" w:rsidP="003D3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5141374"/>
      <w:docPartObj>
        <w:docPartGallery w:val="Page Numbers (Bottom of Page)"/>
        <w:docPartUnique/>
      </w:docPartObj>
    </w:sdtPr>
    <w:sdtEndPr/>
    <w:sdtContent>
      <w:p w14:paraId="18DF2012" w14:textId="5B7CAEE8" w:rsidR="003D3364" w:rsidRDefault="003D3364">
        <w:pPr>
          <w:pStyle w:val="Piedepgina"/>
          <w:jc w:val="center"/>
        </w:pPr>
        <w:r>
          <w:fldChar w:fldCharType="begin"/>
        </w:r>
        <w:r>
          <w:instrText>PAGE   \* MERGEFORMAT</w:instrText>
        </w:r>
        <w:r>
          <w:fldChar w:fldCharType="separate"/>
        </w:r>
        <w:r w:rsidR="00B12F3E" w:rsidRPr="00B12F3E">
          <w:rPr>
            <w:noProof/>
            <w:lang w:val="es-ES"/>
          </w:rPr>
          <w:t>2</w:t>
        </w:r>
        <w:r>
          <w:fldChar w:fldCharType="end"/>
        </w:r>
      </w:p>
    </w:sdtContent>
  </w:sdt>
  <w:p w14:paraId="588D07C9" w14:textId="77777777" w:rsidR="003D3364" w:rsidRDefault="003D33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B6A5A" w14:textId="77777777" w:rsidR="00BD240E" w:rsidRDefault="00BD240E" w:rsidP="003D3364">
      <w:pPr>
        <w:spacing w:after="0" w:line="240" w:lineRule="auto"/>
      </w:pPr>
      <w:r>
        <w:separator/>
      </w:r>
    </w:p>
  </w:footnote>
  <w:footnote w:type="continuationSeparator" w:id="0">
    <w:p w14:paraId="61D74FF2" w14:textId="77777777" w:rsidR="00BD240E" w:rsidRDefault="00BD240E" w:rsidP="003D33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C97D14"/>
    <w:multiLevelType w:val="hybridMultilevel"/>
    <w:tmpl w:val="F438A20E"/>
    <w:lvl w:ilvl="0" w:tplc="5298FB36">
      <w:start w:val="1"/>
      <w:numFmt w:val="decimal"/>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DB4"/>
    <w:rsid w:val="00064DB4"/>
    <w:rsid w:val="000B3249"/>
    <w:rsid w:val="000F4F26"/>
    <w:rsid w:val="001118F5"/>
    <w:rsid w:val="001655E2"/>
    <w:rsid w:val="00185519"/>
    <w:rsid w:val="002028F0"/>
    <w:rsid w:val="00296397"/>
    <w:rsid w:val="00302150"/>
    <w:rsid w:val="003217EA"/>
    <w:rsid w:val="003317CE"/>
    <w:rsid w:val="00342F4A"/>
    <w:rsid w:val="003979BF"/>
    <w:rsid w:val="003B790D"/>
    <w:rsid w:val="003C37F3"/>
    <w:rsid w:val="003D3364"/>
    <w:rsid w:val="004734E1"/>
    <w:rsid w:val="004D560A"/>
    <w:rsid w:val="0058250C"/>
    <w:rsid w:val="005B7497"/>
    <w:rsid w:val="00601472"/>
    <w:rsid w:val="00626ECD"/>
    <w:rsid w:val="006A647A"/>
    <w:rsid w:val="00717960"/>
    <w:rsid w:val="00725781"/>
    <w:rsid w:val="00837245"/>
    <w:rsid w:val="008A5535"/>
    <w:rsid w:val="008B0C7D"/>
    <w:rsid w:val="00907A38"/>
    <w:rsid w:val="009579B9"/>
    <w:rsid w:val="00A228B3"/>
    <w:rsid w:val="00A33005"/>
    <w:rsid w:val="00AE7056"/>
    <w:rsid w:val="00AF5F41"/>
    <w:rsid w:val="00B12F3E"/>
    <w:rsid w:val="00B4148D"/>
    <w:rsid w:val="00BB3688"/>
    <w:rsid w:val="00BB5FAA"/>
    <w:rsid w:val="00BB7EAE"/>
    <w:rsid w:val="00BC2D1E"/>
    <w:rsid w:val="00BD240E"/>
    <w:rsid w:val="00BE337F"/>
    <w:rsid w:val="00BE3C53"/>
    <w:rsid w:val="00C64258"/>
    <w:rsid w:val="00C94A11"/>
    <w:rsid w:val="00CA0332"/>
    <w:rsid w:val="00CB2C76"/>
    <w:rsid w:val="00CE21A4"/>
    <w:rsid w:val="00D00170"/>
    <w:rsid w:val="00D6570B"/>
    <w:rsid w:val="00DC4A46"/>
    <w:rsid w:val="00DD48FA"/>
    <w:rsid w:val="00E024EE"/>
    <w:rsid w:val="00E43709"/>
    <w:rsid w:val="00E63264"/>
    <w:rsid w:val="00F42270"/>
    <w:rsid w:val="00F9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BB1EB"/>
  <w15:chartTrackingRefBased/>
  <w15:docId w15:val="{01B58CB4-15CB-4D8A-A41C-46731274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217EA"/>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E43709"/>
    <w:pPr>
      <w:spacing w:after="0" w:line="240" w:lineRule="auto"/>
      <w:ind w:left="720"/>
    </w:pPr>
    <w:rPr>
      <w:rFonts w:ascii="Calibri" w:eastAsia="Times New Roman" w:hAnsi="Calibri" w:cs="Times New Roman"/>
      <w:lang w:val="es-MX" w:eastAsia="es-MX"/>
    </w:rPr>
  </w:style>
  <w:style w:type="paragraph" w:styleId="Encabezado">
    <w:name w:val="header"/>
    <w:basedOn w:val="Normal"/>
    <w:link w:val="EncabezadoCar"/>
    <w:uiPriority w:val="99"/>
    <w:unhideWhenUsed/>
    <w:rsid w:val="003D33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3364"/>
  </w:style>
  <w:style w:type="paragraph" w:styleId="Piedepgina">
    <w:name w:val="footer"/>
    <w:basedOn w:val="Normal"/>
    <w:link w:val="PiedepginaCar"/>
    <w:uiPriority w:val="99"/>
    <w:unhideWhenUsed/>
    <w:rsid w:val="003D33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3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18696">
      <w:bodyDiv w:val="1"/>
      <w:marLeft w:val="0"/>
      <w:marRight w:val="0"/>
      <w:marTop w:val="0"/>
      <w:marBottom w:val="0"/>
      <w:divBdr>
        <w:top w:val="none" w:sz="0" w:space="0" w:color="auto"/>
        <w:left w:val="none" w:sz="0" w:space="0" w:color="auto"/>
        <w:bottom w:val="none" w:sz="0" w:space="0" w:color="auto"/>
        <w:right w:val="none" w:sz="0" w:space="0" w:color="auto"/>
      </w:divBdr>
    </w:div>
    <w:div w:id="197738281">
      <w:bodyDiv w:val="1"/>
      <w:marLeft w:val="0"/>
      <w:marRight w:val="0"/>
      <w:marTop w:val="0"/>
      <w:marBottom w:val="0"/>
      <w:divBdr>
        <w:top w:val="none" w:sz="0" w:space="0" w:color="auto"/>
        <w:left w:val="none" w:sz="0" w:space="0" w:color="auto"/>
        <w:bottom w:val="none" w:sz="0" w:space="0" w:color="auto"/>
        <w:right w:val="none" w:sz="0" w:space="0" w:color="auto"/>
      </w:divBdr>
    </w:div>
    <w:div w:id="385177737">
      <w:bodyDiv w:val="1"/>
      <w:marLeft w:val="0"/>
      <w:marRight w:val="0"/>
      <w:marTop w:val="0"/>
      <w:marBottom w:val="0"/>
      <w:divBdr>
        <w:top w:val="none" w:sz="0" w:space="0" w:color="auto"/>
        <w:left w:val="none" w:sz="0" w:space="0" w:color="auto"/>
        <w:bottom w:val="none" w:sz="0" w:space="0" w:color="auto"/>
        <w:right w:val="none" w:sz="0" w:space="0" w:color="auto"/>
      </w:divBdr>
    </w:div>
    <w:div w:id="412095395">
      <w:bodyDiv w:val="1"/>
      <w:marLeft w:val="0"/>
      <w:marRight w:val="0"/>
      <w:marTop w:val="0"/>
      <w:marBottom w:val="0"/>
      <w:divBdr>
        <w:top w:val="none" w:sz="0" w:space="0" w:color="auto"/>
        <w:left w:val="none" w:sz="0" w:space="0" w:color="auto"/>
        <w:bottom w:val="none" w:sz="0" w:space="0" w:color="auto"/>
        <w:right w:val="none" w:sz="0" w:space="0" w:color="auto"/>
      </w:divBdr>
    </w:div>
    <w:div w:id="416751879">
      <w:bodyDiv w:val="1"/>
      <w:marLeft w:val="0"/>
      <w:marRight w:val="0"/>
      <w:marTop w:val="0"/>
      <w:marBottom w:val="0"/>
      <w:divBdr>
        <w:top w:val="none" w:sz="0" w:space="0" w:color="auto"/>
        <w:left w:val="none" w:sz="0" w:space="0" w:color="auto"/>
        <w:bottom w:val="none" w:sz="0" w:space="0" w:color="auto"/>
        <w:right w:val="none" w:sz="0" w:space="0" w:color="auto"/>
      </w:divBdr>
    </w:div>
    <w:div w:id="449933060">
      <w:bodyDiv w:val="1"/>
      <w:marLeft w:val="0"/>
      <w:marRight w:val="0"/>
      <w:marTop w:val="0"/>
      <w:marBottom w:val="0"/>
      <w:divBdr>
        <w:top w:val="none" w:sz="0" w:space="0" w:color="auto"/>
        <w:left w:val="none" w:sz="0" w:space="0" w:color="auto"/>
        <w:bottom w:val="none" w:sz="0" w:space="0" w:color="auto"/>
        <w:right w:val="none" w:sz="0" w:space="0" w:color="auto"/>
      </w:divBdr>
    </w:div>
    <w:div w:id="678653433">
      <w:bodyDiv w:val="1"/>
      <w:marLeft w:val="0"/>
      <w:marRight w:val="0"/>
      <w:marTop w:val="0"/>
      <w:marBottom w:val="0"/>
      <w:divBdr>
        <w:top w:val="none" w:sz="0" w:space="0" w:color="auto"/>
        <w:left w:val="none" w:sz="0" w:space="0" w:color="auto"/>
        <w:bottom w:val="none" w:sz="0" w:space="0" w:color="auto"/>
        <w:right w:val="none" w:sz="0" w:space="0" w:color="auto"/>
      </w:divBdr>
    </w:div>
    <w:div w:id="799375109">
      <w:bodyDiv w:val="1"/>
      <w:marLeft w:val="0"/>
      <w:marRight w:val="0"/>
      <w:marTop w:val="0"/>
      <w:marBottom w:val="0"/>
      <w:divBdr>
        <w:top w:val="none" w:sz="0" w:space="0" w:color="auto"/>
        <w:left w:val="none" w:sz="0" w:space="0" w:color="auto"/>
        <w:bottom w:val="none" w:sz="0" w:space="0" w:color="auto"/>
        <w:right w:val="none" w:sz="0" w:space="0" w:color="auto"/>
      </w:divBdr>
    </w:div>
    <w:div w:id="955136626">
      <w:bodyDiv w:val="1"/>
      <w:marLeft w:val="0"/>
      <w:marRight w:val="0"/>
      <w:marTop w:val="0"/>
      <w:marBottom w:val="0"/>
      <w:divBdr>
        <w:top w:val="none" w:sz="0" w:space="0" w:color="auto"/>
        <w:left w:val="none" w:sz="0" w:space="0" w:color="auto"/>
        <w:bottom w:val="none" w:sz="0" w:space="0" w:color="auto"/>
        <w:right w:val="none" w:sz="0" w:space="0" w:color="auto"/>
      </w:divBdr>
    </w:div>
    <w:div w:id="984553334">
      <w:bodyDiv w:val="1"/>
      <w:marLeft w:val="0"/>
      <w:marRight w:val="0"/>
      <w:marTop w:val="0"/>
      <w:marBottom w:val="0"/>
      <w:divBdr>
        <w:top w:val="none" w:sz="0" w:space="0" w:color="auto"/>
        <w:left w:val="none" w:sz="0" w:space="0" w:color="auto"/>
        <w:bottom w:val="none" w:sz="0" w:space="0" w:color="auto"/>
        <w:right w:val="none" w:sz="0" w:space="0" w:color="auto"/>
      </w:divBdr>
    </w:div>
    <w:div w:id="1031492359">
      <w:bodyDiv w:val="1"/>
      <w:marLeft w:val="0"/>
      <w:marRight w:val="0"/>
      <w:marTop w:val="0"/>
      <w:marBottom w:val="0"/>
      <w:divBdr>
        <w:top w:val="none" w:sz="0" w:space="0" w:color="auto"/>
        <w:left w:val="none" w:sz="0" w:space="0" w:color="auto"/>
        <w:bottom w:val="none" w:sz="0" w:space="0" w:color="auto"/>
        <w:right w:val="none" w:sz="0" w:space="0" w:color="auto"/>
      </w:divBdr>
    </w:div>
    <w:div w:id="1393237554">
      <w:bodyDiv w:val="1"/>
      <w:marLeft w:val="0"/>
      <w:marRight w:val="0"/>
      <w:marTop w:val="0"/>
      <w:marBottom w:val="0"/>
      <w:divBdr>
        <w:top w:val="none" w:sz="0" w:space="0" w:color="auto"/>
        <w:left w:val="none" w:sz="0" w:space="0" w:color="auto"/>
        <w:bottom w:val="none" w:sz="0" w:space="0" w:color="auto"/>
        <w:right w:val="none" w:sz="0" w:space="0" w:color="auto"/>
      </w:divBdr>
    </w:div>
    <w:div w:id="1739091693">
      <w:bodyDiv w:val="1"/>
      <w:marLeft w:val="0"/>
      <w:marRight w:val="0"/>
      <w:marTop w:val="0"/>
      <w:marBottom w:val="0"/>
      <w:divBdr>
        <w:top w:val="none" w:sz="0" w:space="0" w:color="auto"/>
        <w:left w:val="none" w:sz="0" w:space="0" w:color="auto"/>
        <w:bottom w:val="none" w:sz="0" w:space="0" w:color="auto"/>
        <w:right w:val="none" w:sz="0" w:space="0" w:color="auto"/>
      </w:divBdr>
    </w:div>
    <w:div w:id="1859543140">
      <w:bodyDiv w:val="1"/>
      <w:marLeft w:val="0"/>
      <w:marRight w:val="0"/>
      <w:marTop w:val="0"/>
      <w:marBottom w:val="0"/>
      <w:divBdr>
        <w:top w:val="none" w:sz="0" w:space="0" w:color="auto"/>
        <w:left w:val="none" w:sz="0" w:space="0" w:color="auto"/>
        <w:bottom w:val="none" w:sz="0" w:space="0" w:color="auto"/>
        <w:right w:val="none" w:sz="0" w:space="0" w:color="auto"/>
      </w:divBdr>
    </w:div>
    <w:div w:id="1967079370">
      <w:bodyDiv w:val="1"/>
      <w:marLeft w:val="0"/>
      <w:marRight w:val="0"/>
      <w:marTop w:val="0"/>
      <w:marBottom w:val="0"/>
      <w:divBdr>
        <w:top w:val="none" w:sz="0" w:space="0" w:color="auto"/>
        <w:left w:val="none" w:sz="0" w:space="0" w:color="auto"/>
        <w:bottom w:val="none" w:sz="0" w:space="0" w:color="auto"/>
        <w:right w:val="none" w:sz="0" w:space="0" w:color="auto"/>
      </w:divBdr>
    </w:div>
    <w:div w:id="202909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1002</Words>
  <Characters>5515</Characters>
  <Application>Microsoft Office Word</Application>
  <DocSecurity>0</DocSecurity>
  <Lines>45</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Hempe</dc:creator>
  <cp:keywords/>
  <dc:description/>
  <cp:lastModifiedBy>SUSANA, AVERZA</cp:lastModifiedBy>
  <cp:revision>2</cp:revision>
  <cp:lastPrinted>2021-12-28T20:35:00Z</cp:lastPrinted>
  <dcterms:created xsi:type="dcterms:W3CDTF">2021-12-29T19:16:00Z</dcterms:created>
  <dcterms:modified xsi:type="dcterms:W3CDTF">2021-12-29T19:16:00Z</dcterms:modified>
</cp:coreProperties>
</file>