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65E34" w14:textId="77777777" w:rsidR="00EA42EC" w:rsidRPr="00DD0A74" w:rsidRDefault="0098039D" w:rsidP="00DD0A74">
      <w:pPr>
        <w:jc w:val="center"/>
        <w:rPr>
          <w:b/>
          <w:bCs/>
        </w:rPr>
      </w:pPr>
      <w:bookmarkStart w:id="0" w:name="_GoBack"/>
      <w:bookmarkEnd w:id="0"/>
      <w:r w:rsidRPr="00DD0A74">
        <w:rPr>
          <w:b/>
          <w:bCs/>
        </w:rPr>
        <w:t>Átomo de Transferencias (TR01)</w:t>
      </w:r>
    </w:p>
    <w:p w14:paraId="7EA8B599" w14:textId="77777777" w:rsidR="0098039D" w:rsidRDefault="0098039D"/>
    <w:tbl>
      <w:tblPr>
        <w:tblW w:w="136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45"/>
        <w:gridCol w:w="4943"/>
        <w:gridCol w:w="1680"/>
        <w:gridCol w:w="4232"/>
      </w:tblGrid>
      <w:tr w:rsidR="0098039D" w:rsidRPr="00840C23" w14:paraId="19F54483" w14:textId="77777777" w:rsidTr="002B7D1A">
        <w:trPr>
          <w:trHeight w:val="171"/>
          <w:tblHeader/>
        </w:trPr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294B9E14" w14:textId="77777777" w:rsidR="0098039D" w:rsidRPr="00840C23" w:rsidRDefault="00DD0A74" w:rsidP="00DD0A74">
            <w:pPr>
              <w:spacing w:after="0"/>
              <w:jc w:val="center"/>
              <w:rPr>
                <w:rFonts w:cstheme="minorHAnsi"/>
              </w:rPr>
            </w:pPr>
            <w:r w:rsidRPr="00DD0A74">
              <w:rPr>
                <w:rFonts w:cstheme="minorHAnsi"/>
                <w:b/>
                <w:bCs/>
                <w:lang w:val="es-ES"/>
              </w:rPr>
              <w:t>CAMPO</w:t>
            </w:r>
          </w:p>
        </w:tc>
        <w:tc>
          <w:tcPr>
            <w:tcW w:w="4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54FC2388" w14:textId="77777777" w:rsidR="0098039D" w:rsidRPr="00840C23" w:rsidRDefault="00DD0A74" w:rsidP="00DD0A74">
            <w:pPr>
              <w:spacing w:after="0"/>
              <w:jc w:val="center"/>
              <w:rPr>
                <w:rFonts w:cstheme="minorHAnsi"/>
              </w:rPr>
            </w:pPr>
            <w:r w:rsidRPr="00DD0A74">
              <w:rPr>
                <w:rFonts w:cstheme="minorHAnsi"/>
                <w:b/>
                <w:bCs/>
                <w:lang w:val="es-ES"/>
              </w:rPr>
              <w:t>DESCRIPCIÓN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67EBF012" w14:textId="77777777" w:rsidR="0098039D" w:rsidRPr="00840C23" w:rsidRDefault="00DD0A74" w:rsidP="00DD0A74">
            <w:pPr>
              <w:spacing w:after="0"/>
              <w:jc w:val="center"/>
              <w:rPr>
                <w:rFonts w:cstheme="minorHAnsi"/>
              </w:rPr>
            </w:pPr>
            <w:r w:rsidRPr="00DD0A74">
              <w:rPr>
                <w:rFonts w:cstheme="minorHAnsi"/>
                <w:b/>
                <w:bCs/>
                <w:lang w:val="es-ES"/>
              </w:rPr>
              <w:t>FORMATO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6165D04F" w14:textId="77777777" w:rsidR="0098039D" w:rsidRPr="00840C23" w:rsidRDefault="00DD0A74" w:rsidP="00DD0A74">
            <w:pPr>
              <w:spacing w:after="0"/>
              <w:jc w:val="center"/>
              <w:rPr>
                <w:rFonts w:cstheme="minorHAnsi"/>
              </w:rPr>
            </w:pPr>
            <w:r w:rsidRPr="00DD0A74">
              <w:rPr>
                <w:rFonts w:cstheme="minorHAnsi"/>
                <w:b/>
                <w:bCs/>
                <w:lang w:val="es-ES"/>
              </w:rPr>
              <w:t>OBSERVACIONES</w:t>
            </w:r>
          </w:p>
        </w:tc>
      </w:tr>
      <w:tr w:rsidR="0098039D" w:rsidRPr="00840C23" w14:paraId="42559A75" w14:textId="77777777" w:rsidTr="0098039D">
        <w:trPr>
          <w:trHeight w:val="576"/>
        </w:trPr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715218F3" w14:textId="77777777" w:rsidR="00840C23" w:rsidRPr="00840C23" w:rsidRDefault="002B7D1A" w:rsidP="0098039D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cstheme="minorHAnsi"/>
              </w:rPr>
            </w:pPr>
            <w:r w:rsidRPr="00840C23">
              <w:rPr>
                <w:rFonts w:cstheme="minorHAnsi"/>
                <w:lang w:val="es-ES_tradnl"/>
              </w:rPr>
              <w:t>Fecha del reporte</w:t>
            </w:r>
          </w:p>
        </w:tc>
        <w:tc>
          <w:tcPr>
            <w:tcW w:w="4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7594076D" w14:textId="77777777" w:rsidR="0098039D" w:rsidRPr="00840C23" w:rsidRDefault="0098039D" w:rsidP="00D5196C">
            <w:pPr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Corresponde a la fecha del periodo mensual que está reportando la información.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4AEDE931" w14:textId="77777777" w:rsidR="0098039D" w:rsidRPr="00840C23" w:rsidRDefault="0098039D" w:rsidP="00D5196C">
            <w:pPr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AAAAMMDD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2417DBBD" w14:textId="77777777" w:rsidR="0098039D" w:rsidRPr="00840C23" w:rsidRDefault="0098039D" w:rsidP="00D5196C">
            <w:pPr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No debe registrar espacios en blancos o valores nulos.</w:t>
            </w:r>
          </w:p>
        </w:tc>
      </w:tr>
      <w:tr w:rsidR="0098039D" w:rsidRPr="00840C23" w14:paraId="754348E9" w14:textId="77777777" w:rsidTr="0098039D">
        <w:trPr>
          <w:trHeight w:val="576"/>
        </w:trPr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69134834" w14:textId="1B59318A" w:rsidR="0098039D" w:rsidRPr="00840C23" w:rsidRDefault="0098039D" w:rsidP="00FE0ACC">
            <w:pPr>
              <w:rPr>
                <w:rFonts w:cstheme="minorHAnsi"/>
              </w:rPr>
            </w:pPr>
            <w:r w:rsidRPr="00840C23">
              <w:rPr>
                <w:rFonts w:cstheme="minorHAnsi"/>
                <w:lang w:val="es-MX"/>
              </w:rPr>
              <w:t xml:space="preserve">2. Código del </w:t>
            </w:r>
            <w:r w:rsidR="00FE0ACC">
              <w:rPr>
                <w:rFonts w:cstheme="minorHAnsi"/>
                <w:lang w:val="es-MX"/>
              </w:rPr>
              <w:t>b</w:t>
            </w:r>
            <w:r w:rsidRPr="00840C23">
              <w:rPr>
                <w:rFonts w:cstheme="minorHAnsi"/>
                <w:lang w:val="es-MX"/>
              </w:rPr>
              <w:t>anco</w:t>
            </w:r>
          </w:p>
        </w:tc>
        <w:tc>
          <w:tcPr>
            <w:tcW w:w="4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23C5DA98" w14:textId="77777777" w:rsidR="0098039D" w:rsidRPr="00840C23" w:rsidRDefault="0098039D" w:rsidP="00D5196C">
            <w:pPr>
              <w:rPr>
                <w:rFonts w:cstheme="minorHAnsi"/>
              </w:rPr>
            </w:pPr>
            <w:r w:rsidRPr="00840C23">
              <w:rPr>
                <w:rFonts w:cstheme="minorHAnsi"/>
              </w:rPr>
              <w:t>Corresponde al código asignado por la Superintendencia de Bancos de Panamá.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785FBBAD" w14:textId="77777777" w:rsidR="0098039D" w:rsidRPr="00840C23" w:rsidRDefault="0098039D" w:rsidP="00D5196C">
            <w:pPr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Texto de 3 caracteres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0BAFE079" w14:textId="77777777" w:rsidR="0098039D" w:rsidRPr="00840C23" w:rsidRDefault="0098039D" w:rsidP="00D5196C">
            <w:pPr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No debe registrar espacios en blancos o valores nulos.</w:t>
            </w:r>
          </w:p>
        </w:tc>
      </w:tr>
      <w:tr w:rsidR="0098039D" w:rsidRPr="00840C23" w14:paraId="56B884D8" w14:textId="77777777" w:rsidTr="0098039D">
        <w:trPr>
          <w:trHeight w:val="1440"/>
        </w:trPr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3151135F" w14:textId="77777777" w:rsidR="0098039D" w:rsidRPr="00840C23" w:rsidRDefault="0098039D" w:rsidP="00D5196C">
            <w:pPr>
              <w:rPr>
                <w:rFonts w:cstheme="minorHAnsi"/>
              </w:rPr>
            </w:pPr>
            <w:r w:rsidRPr="00840C23">
              <w:rPr>
                <w:rFonts w:cstheme="minorHAnsi"/>
                <w:lang w:val="es-MX"/>
              </w:rPr>
              <w:t>3. Entidad que origina o recibe la transferencia</w:t>
            </w:r>
          </w:p>
        </w:tc>
        <w:tc>
          <w:tcPr>
            <w:tcW w:w="4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0E60FFC0" w14:textId="77777777" w:rsidR="0098039D" w:rsidRPr="00840C23" w:rsidRDefault="0098039D" w:rsidP="00D5196C">
            <w:pPr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Corresponde al nombre del banco o entidad financiera que origina (inicialmente) o recibe (finalmente) la transferencia.  Este campo no se refiere a los intermediarios que pueden participar en una transferencia.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3A40333B" w14:textId="77777777" w:rsidR="0098039D" w:rsidRPr="00840C23" w:rsidRDefault="0098039D" w:rsidP="00D5196C">
            <w:pPr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Texto de 100 caracteres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4BFA270A" w14:textId="77777777" w:rsidR="0098039D" w:rsidRPr="00840C23" w:rsidRDefault="0098039D" w:rsidP="00D5196C">
            <w:pPr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 xml:space="preserve">Nombre del banco o entidad financiera que origina (inicialmente) o recibe (finalmente) la transferencia. </w:t>
            </w:r>
            <w:r w:rsidRPr="00840C23">
              <w:rPr>
                <w:rFonts w:cstheme="minorHAnsi"/>
                <w:lang w:val="es-ES"/>
              </w:rPr>
              <w:br/>
              <w:t>Colocar “NR” si no tiene nada que reportar en el átomo de transferencias.</w:t>
            </w:r>
          </w:p>
        </w:tc>
      </w:tr>
      <w:tr w:rsidR="0098039D" w:rsidRPr="00840C23" w14:paraId="084AF38A" w14:textId="77777777" w:rsidTr="0098039D">
        <w:trPr>
          <w:trHeight w:val="4532"/>
        </w:trPr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7FCD46FB" w14:textId="77777777" w:rsidR="0098039D" w:rsidRPr="00840C23" w:rsidRDefault="0098039D" w:rsidP="00D5196C">
            <w:pPr>
              <w:rPr>
                <w:rFonts w:cstheme="minorHAnsi"/>
              </w:rPr>
            </w:pPr>
            <w:r w:rsidRPr="00840C23">
              <w:rPr>
                <w:rFonts w:cstheme="minorHAnsi"/>
                <w:lang w:val="es-MX"/>
              </w:rPr>
              <w:t>4. Tipo de Código de Ruta</w:t>
            </w:r>
          </w:p>
        </w:tc>
        <w:tc>
          <w:tcPr>
            <w:tcW w:w="4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0128F656" w14:textId="77777777" w:rsidR="0098039D" w:rsidRPr="00840C23" w:rsidRDefault="0098039D" w:rsidP="00D5196C">
            <w:pPr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Corresponde al tipo de Código de Ruta del banco que origina o recibe la transferencia.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1B7EEB21" w14:textId="77777777" w:rsidR="0098039D" w:rsidRPr="00840C23" w:rsidRDefault="0098039D" w:rsidP="00D5196C">
            <w:pPr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Texto de 2 caracteres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6F0F1911" w14:textId="77777777" w:rsidR="0098039D" w:rsidRPr="00840C23" w:rsidRDefault="0098039D" w:rsidP="0098039D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Código válido de la Tabla SB86 (Tipo Código Ruta)</w:t>
            </w:r>
          </w:p>
          <w:p w14:paraId="3141A2D7" w14:textId="77777777" w:rsidR="0098039D" w:rsidRPr="00840C23" w:rsidRDefault="0098039D" w:rsidP="0098039D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</w:rPr>
              <w:t>00 Otros</w:t>
            </w:r>
          </w:p>
          <w:p w14:paraId="3E10E580" w14:textId="77777777" w:rsidR="0098039D" w:rsidRPr="00840C23" w:rsidRDefault="0098039D" w:rsidP="0098039D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</w:rPr>
              <w:t>01 Swift</w:t>
            </w:r>
          </w:p>
          <w:p w14:paraId="29413FB6" w14:textId="77777777" w:rsidR="0098039D" w:rsidRPr="00840C23" w:rsidRDefault="0098039D" w:rsidP="0098039D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</w:rPr>
              <w:t>02 ABA</w:t>
            </w:r>
          </w:p>
          <w:p w14:paraId="4735E549" w14:textId="77777777" w:rsidR="0098039D" w:rsidRPr="00840C23" w:rsidRDefault="0098039D" w:rsidP="0098039D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</w:rPr>
              <w:t>03 IBAN</w:t>
            </w:r>
          </w:p>
          <w:p w14:paraId="79A9F5E3" w14:textId="0CD23C8F" w:rsidR="0098039D" w:rsidRPr="00840C23" w:rsidRDefault="0098039D" w:rsidP="00FE0ACC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En el caso de utilizar el código 00 Otros, el banco deberá enviar una plantilla (incluyendo el tipo de código)</w:t>
            </w:r>
            <w:r w:rsidR="00FE0ACC">
              <w:rPr>
                <w:rFonts w:cstheme="minorHAnsi"/>
                <w:lang w:val="es-ES"/>
              </w:rPr>
              <w:t>,</w:t>
            </w:r>
            <w:r w:rsidRPr="00840C23">
              <w:rPr>
                <w:rFonts w:cstheme="minorHAnsi"/>
                <w:lang w:val="es-ES"/>
              </w:rPr>
              <w:t xml:space="preserve"> </w:t>
            </w:r>
            <w:r w:rsidR="00FE0ACC">
              <w:rPr>
                <w:rFonts w:cstheme="minorHAnsi"/>
                <w:lang w:val="es-ES"/>
              </w:rPr>
              <w:t>donde solicite una</w:t>
            </w:r>
            <w:r w:rsidRPr="00840C23">
              <w:rPr>
                <w:rFonts w:cstheme="minorHAnsi"/>
                <w:lang w:val="es-ES"/>
              </w:rPr>
              <w:t xml:space="preserve"> asignación de código para envíos posteriores.  Una vez se asigna el código</w:t>
            </w:r>
            <w:r w:rsidR="00FE0ACC">
              <w:rPr>
                <w:rFonts w:cstheme="minorHAnsi"/>
                <w:lang w:val="es-ES"/>
              </w:rPr>
              <w:t>,</w:t>
            </w:r>
            <w:r w:rsidRPr="00840C23">
              <w:rPr>
                <w:rFonts w:cstheme="minorHAnsi"/>
                <w:lang w:val="es-ES"/>
              </w:rPr>
              <w:t xml:space="preserve"> la SBP informará de su creación, el cual debe ser utilizado para el envío del mes siguiente.</w:t>
            </w:r>
          </w:p>
        </w:tc>
      </w:tr>
      <w:tr w:rsidR="0098039D" w:rsidRPr="00840C23" w14:paraId="7E296052" w14:textId="77777777" w:rsidTr="0098039D">
        <w:trPr>
          <w:trHeight w:val="1440"/>
        </w:trPr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3E6DA22A" w14:textId="77777777" w:rsidR="0098039D" w:rsidRPr="00840C23" w:rsidRDefault="0098039D" w:rsidP="0098039D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lastRenderedPageBreak/>
              <w:t>5. Código de Ruta</w:t>
            </w:r>
          </w:p>
        </w:tc>
        <w:tc>
          <w:tcPr>
            <w:tcW w:w="4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0EF30578" w14:textId="77777777" w:rsidR="0098039D" w:rsidRPr="00840C23" w:rsidRDefault="0098039D" w:rsidP="0098039D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</w:rPr>
              <w:t>Corresponde al Código de Swift, ABA, IBAN, Otro</w:t>
            </w:r>
            <w:r w:rsidRPr="00840C23">
              <w:rPr>
                <w:rFonts w:cstheme="minorHAnsi"/>
                <w:lang w:val="es-ES"/>
              </w:rPr>
              <w:t xml:space="preserve"> del banco que origina (inicialmente) o recibe (finalmente) la transferencia.  Este campo no se refiere a los intermediarios que pueden participar en una transferencia.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1C2588C4" w14:textId="77777777" w:rsidR="0098039D" w:rsidRPr="00840C23" w:rsidRDefault="0098039D" w:rsidP="0098039D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Texto de 20 caracteres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66FC7535" w14:textId="77777777" w:rsidR="0098039D" w:rsidRPr="00840C23" w:rsidRDefault="0098039D" w:rsidP="0098039D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Identificación del código de ruta del banco que origina o recibe la transferencia.</w:t>
            </w:r>
          </w:p>
        </w:tc>
      </w:tr>
      <w:tr w:rsidR="0098039D" w:rsidRPr="00840C23" w14:paraId="29A957B5" w14:textId="77777777" w:rsidTr="0098039D">
        <w:trPr>
          <w:trHeight w:val="1440"/>
        </w:trPr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1461237A" w14:textId="77777777" w:rsidR="0098039D" w:rsidRPr="00840C23" w:rsidRDefault="0098039D" w:rsidP="0098039D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6. Transacción enviada o recibida</w:t>
            </w:r>
          </w:p>
        </w:tc>
        <w:tc>
          <w:tcPr>
            <w:tcW w:w="4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6D9AB232" w14:textId="77777777" w:rsidR="0098039D" w:rsidRPr="00840C23" w:rsidRDefault="0098039D" w:rsidP="0098039D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</w:rPr>
              <w:t>Corresponde al código del tipo de transacción reportada.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62B30ED0" w14:textId="77777777" w:rsidR="0098039D" w:rsidRPr="00840C23" w:rsidRDefault="0098039D" w:rsidP="0098039D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Texto de 1 caracteres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0A4C3C13" w14:textId="77777777" w:rsidR="0098039D" w:rsidRPr="00840C23" w:rsidRDefault="0098039D" w:rsidP="0098039D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Debe colocar “E” si el banco envía la transferencia y “R” si el banco recibe la transferencia.</w:t>
            </w:r>
          </w:p>
        </w:tc>
      </w:tr>
      <w:tr w:rsidR="0098039D" w:rsidRPr="00840C23" w14:paraId="735FA8A5" w14:textId="77777777" w:rsidTr="0098039D">
        <w:trPr>
          <w:trHeight w:val="1440"/>
        </w:trPr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60967413" w14:textId="77777777" w:rsidR="0098039D" w:rsidRPr="00840C23" w:rsidRDefault="0098039D" w:rsidP="0098039D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7. Código país remisor/destino</w:t>
            </w:r>
          </w:p>
        </w:tc>
        <w:tc>
          <w:tcPr>
            <w:tcW w:w="4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06EFD506" w14:textId="77777777" w:rsidR="0098039D" w:rsidRPr="00840C23" w:rsidRDefault="0098039D" w:rsidP="0098039D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Corresponde al código del país del cual se recibe o envía la transferencia.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39CBEBAC" w14:textId="77777777" w:rsidR="0098039D" w:rsidRPr="00840C23" w:rsidRDefault="0098039D" w:rsidP="0098039D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Texto de 3 caracteres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5F1CEA91" w14:textId="1313DCC8" w:rsidR="0098039D" w:rsidRPr="00840C23" w:rsidRDefault="00FE0ACC" w:rsidP="0098039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lang w:val="es-ES"/>
              </w:rPr>
              <w:t>Código válido de la T</w:t>
            </w:r>
            <w:r w:rsidR="0098039D" w:rsidRPr="00840C23">
              <w:rPr>
                <w:rFonts w:cstheme="minorHAnsi"/>
                <w:lang w:val="es-ES"/>
              </w:rPr>
              <w:t>abla SB03.</w:t>
            </w:r>
          </w:p>
        </w:tc>
      </w:tr>
      <w:tr w:rsidR="0098039D" w:rsidRPr="00840C23" w14:paraId="699C7E2D" w14:textId="77777777" w:rsidTr="0098039D">
        <w:trPr>
          <w:trHeight w:val="1440"/>
        </w:trPr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37D5B854" w14:textId="77777777" w:rsidR="0098039D" w:rsidRPr="00840C23" w:rsidRDefault="0098039D" w:rsidP="0098039D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  <w:lang w:val="es-ES_tradnl"/>
              </w:rPr>
              <w:t>8. Motivo de la transferencia</w:t>
            </w:r>
          </w:p>
        </w:tc>
        <w:tc>
          <w:tcPr>
            <w:tcW w:w="4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1D0D480F" w14:textId="77777777" w:rsidR="0098039D" w:rsidRPr="00840C23" w:rsidRDefault="0098039D" w:rsidP="0098039D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Corresponde al motivo de la transferencia.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21921D40" w14:textId="77777777" w:rsidR="0098039D" w:rsidRPr="00840C23" w:rsidRDefault="0098039D" w:rsidP="0098039D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Texto de 2</w:t>
            </w:r>
            <w:r w:rsidRPr="00030288">
              <w:rPr>
                <w:rFonts w:cstheme="minorHAnsi"/>
                <w:lang w:val="es-ES"/>
              </w:rPr>
              <w:t xml:space="preserve"> </w:t>
            </w:r>
            <w:r w:rsidRPr="00840C23">
              <w:rPr>
                <w:rFonts w:cstheme="minorHAnsi"/>
                <w:lang w:val="es-ES"/>
              </w:rPr>
              <w:t>caracteres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7D78E3C2" w14:textId="77777777" w:rsidR="0098039D" w:rsidRPr="00840C23" w:rsidRDefault="0098039D" w:rsidP="0098039D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Código válido de la Tabla SB87 (Motivo Transferencia)</w:t>
            </w:r>
          </w:p>
          <w:p w14:paraId="21C67C92" w14:textId="77777777" w:rsidR="0098039D" w:rsidRPr="00840C23" w:rsidRDefault="0098039D" w:rsidP="0098039D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01 enviada por el cliente</w:t>
            </w:r>
          </w:p>
          <w:p w14:paraId="56A5A084" w14:textId="77777777" w:rsidR="0098039D" w:rsidRPr="00840C23" w:rsidRDefault="0098039D" w:rsidP="0098039D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02 recibida por el cliente</w:t>
            </w:r>
          </w:p>
          <w:p w14:paraId="2B0BB9A0" w14:textId="77777777" w:rsidR="0098039D" w:rsidRPr="00840C23" w:rsidRDefault="0098039D" w:rsidP="0098039D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03 enviada por el giro de negocios del banco</w:t>
            </w:r>
          </w:p>
          <w:p w14:paraId="7BDD0883" w14:textId="77777777" w:rsidR="0098039D" w:rsidRPr="00840C23" w:rsidRDefault="0098039D" w:rsidP="0098039D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04 recibida por el giro de negocios del banco</w:t>
            </w:r>
          </w:p>
        </w:tc>
      </w:tr>
      <w:tr w:rsidR="0098039D" w:rsidRPr="00840C23" w14:paraId="75881770" w14:textId="77777777" w:rsidTr="0098039D">
        <w:trPr>
          <w:trHeight w:val="965"/>
        </w:trPr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33A17677" w14:textId="77777777" w:rsidR="0098039D" w:rsidRPr="00840C23" w:rsidRDefault="0098039D" w:rsidP="0098039D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  <w:lang w:val="es-ES_tradnl"/>
              </w:rPr>
              <w:t>9. Monto de las transferencias reportadas (en dólares)</w:t>
            </w:r>
          </w:p>
        </w:tc>
        <w:tc>
          <w:tcPr>
            <w:tcW w:w="4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544A7F35" w14:textId="77777777" w:rsidR="0098039D" w:rsidRPr="00840C23" w:rsidRDefault="0098039D" w:rsidP="0098039D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Corresponde al monto de la transferencia.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48FEF523" w14:textId="77777777" w:rsidR="0098039D" w:rsidRPr="00840C23" w:rsidRDefault="0098039D" w:rsidP="0098039D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 xml:space="preserve">Numérico 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780F143B" w14:textId="77777777" w:rsidR="0098039D" w:rsidRPr="00840C23" w:rsidRDefault="0098039D" w:rsidP="0098039D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Valor numérico. El mismo debe ser mayor o igual a 0.01 (en dólares).</w:t>
            </w:r>
          </w:p>
        </w:tc>
      </w:tr>
      <w:tr w:rsidR="0098039D" w:rsidRPr="00840C23" w14:paraId="01B98FEF" w14:textId="77777777" w:rsidTr="0098039D">
        <w:trPr>
          <w:trHeight w:val="490"/>
        </w:trPr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00F81535" w14:textId="77777777" w:rsidR="0098039D" w:rsidRPr="00840C23" w:rsidRDefault="0098039D" w:rsidP="0098039D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  <w:lang w:val="es-ES_tradnl"/>
              </w:rPr>
              <w:t>10. Cantidad de transferencias</w:t>
            </w:r>
          </w:p>
        </w:tc>
        <w:tc>
          <w:tcPr>
            <w:tcW w:w="4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48524CEC" w14:textId="77777777" w:rsidR="0098039D" w:rsidRPr="00840C23" w:rsidRDefault="0098039D" w:rsidP="0098039D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Corresponde a la cantidad de transferencias que se reportan.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185DDC32" w14:textId="77777777" w:rsidR="0098039D" w:rsidRPr="00840C23" w:rsidRDefault="0098039D" w:rsidP="0098039D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Numérico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63D51CAA" w14:textId="77777777" w:rsidR="0098039D" w:rsidRPr="00840C23" w:rsidRDefault="0098039D" w:rsidP="0098039D">
            <w:pPr>
              <w:spacing w:after="0"/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Valor numérico.</w:t>
            </w:r>
          </w:p>
        </w:tc>
      </w:tr>
      <w:tr w:rsidR="0098039D" w:rsidRPr="00840C23" w14:paraId="284F67B0" w14:textId="77777777" w:rsidTr="0098039D">
        <w:trPr>
          <w:trHeight w:val="634"/>
        </w:trPr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46D38610" w14:textId="77777777" w:rsidR="0098039D" w:rsidRPr="00840C23" w:rsidRDefault="0098039D" w:rsidP="0098039D">
            <w:pPr>
              <w:rPr>
                <w:rFonts w:cstheme="minorHAnsi"/>
              </w:rPr>
            </w:pPr>
            <w:r w:rsidRPr="00840C23">
              <w:rPr>
                <w:rFonts w:cstheme="minorHAnsi"/>
                <w:lang w:val="es-ES_tradnl"/>
              </w:rPr>
              <w:t>11. Tipo de moneda</w:t>
            </w:r>
          </w:p>
        </w:tc>
        <w:tc>
          <w:tcPr>
            <w:tcW w:w="4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3BCADD2C" w14:textId="77777777" w:rsidR="0098039D" w:rsidRPr="00840C23" w:rsidRDefault="0098039D" w:rsidP="0098039D">
            <w:pPr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Corresponde al tipo de moneda de la transferencia reportada.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7093A4CB" w14:textId="77777777" w:rsidR="0098039D" w:rsidRPr="00840C23" w:rsidRDefault="0098039D" w:rsidP="0098039D">
            <w:pPr>
              <w:rPr>
                <w:rFonts w:cstheme="minorHAnsi"/>
              </w:rPr>
            </w:pPr>
            <w:r w:rsidRPr="00840C23">
              <w:rPr>
                <w:rFonts w:cstheme="minorHAnsi"/>
                <w:lang w:val="es-ES"/>
              </w:rPr>
              <w:t>Texto de 3 caracteres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6B25E858" w14:textId="17A25C14" w:rsidR="0098039D" w:rsidRPr="00840C23" w:rsidRDefault="00FE0ACC" w:rsidP="0098039D">
            <w:pPr>
              <w:rPr>
                <w:rFonts w:cstheme="minorHAnsi"/>
              </w:rPr>
            </w:pPr>
            <w:r>
              <w:rPr>
                <w:rFonts w:cstheme="minorHAnsi"/>
                <w:lang w:val="es-ES"/>
              </w:rPr>
              <w:t>Código válido de la T</w:t>
            </w:r>
            <w:r w:rsidR="0098039D" w:rsidRPr="00840C23">
              <w:rPr>
                <w:rFonts w:cstheme="minorHAnsi"/>
                <w:lang w:val="es-ES"/>
              </w:rPr>
              <w:t>abla SB14.</w:t>
            </w:r>
          </w:p>
        </w:tc>
      </w:tr>
      <w:tr w:rsidR="0098039D" w:rsidRPr="00840C23" w14:paraId="2EA6A578" w14:textId="77777777" w:rsidTr="0098039D">
        <w:trPr>
          <w:trHeight w:val="1440"/>
        </w:trPr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09499E30" w14:textId="77777777" w:rsidR="0098039D" w:rsidRPr="00030288" w:rsidRDefault="0098039D" w:rsidP="0098039D">
            <w:pPr>
              <w:rPr>
                <w:rFonts w:cstheme="minorHAnsi"/>
              </w:rPr>
            </w:pPr>
            <w:r w:rsidRPr="00030288">
              <w:rPr>
                <w:rFonts w:cstheme="minorHAnsi"/>
              </w:rPr>
              <w:lastRenderedPageBreak/>
              <w:t xml:space="preserve">12. </w:t>
            </w:r>
            <w:proofErr w:type="spellStart"/>
            <w:r w:rsidRPr="00030288">
              <w:rPr>
                <w:rFonts w:cstheme="minorHAnsi"/>
              </w:rPr>
              <w:t>Cod_Subsidiaria</w:t>
            </w:r>
            <w:proofErr w:type="spellEnd"/>
          </w:p>
        </w:tc>
        <w:tc>
          <w:tcPr>
            <w:tcW w:w="4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68464358" w14:textId="065FA507" w:rsidR="007B2439" w:rsidRPr="00030288" w:rsidRDefault="0098039D" w:rsidP="0098039D">
            <w:pPr>
              <w:rPr>
                <w:rFonts w:cstheme="minorHAnsi"/>
                <w:lang w:val="es-ES_tradnl"/>
              </w:rPr>
            </w:pPr>
            <w:r w:rsidRPr="00030288">
              <w:rPr>
                <w:rFonts w:cstheme="minorHAnsi"/>
                <w:lang w:val="es-ES_tradnl"/>
              </w:rPr>
              <w:t>Corresponde al código de la Subsidiaria del banco.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6A9271BD" w14:textId="77777777" w:rsidR="0098039D" w:rsidRPr="00030288" w:rsidRDefault="0098039D" w:rsidP="0098039D">
            <w:pPr>
              <w:jc w:val="center"/>
              <w:rPr>
                <w:rFonts w:cstheme="minorHAnsi"/>
                <w:lang w:val="es-ES_tradnl"/>
              </w:rPr>
            </w:pPr>
            <w:r w:rsidRPr="00030288">
              <w:rPr>
                <w:rFonts w:cstheme="minorHAnsi"/>
                <w:lang w:val="es-ES_tradnl"/>
              </w:rPr>
              <w:t>Texto de cuatro caracteres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0F2259A6" w14:textId="77777777" w:rsidR="0098039D" w:rsidRPr="00030288" w:rsidRDefault="00435ED2" w:rsidP="0098039D">
            <w:pPr>
              <w:rPr>
                <w:rFonts w:cstheme="minorHAnsi"/>
              </w:rPr>
            </w:pPr>
            <w:r w:rsidRPr="00030288">
              <w:rPr>
                <w:rFonts w:cstheme="minorHAnsi"/>
              </w:rPr>
              <w:t xml:space="preserve">Si </w:t>
            </w:r>
            <w:r w:rsidR="0098039D" w:rsidRPr="00030288">
              <w:rPr>
                <w:rFonts w:cstheme="minorHAnsi"/>
              </w:rPr>
              <w:t>No Aplica</w:t>
            </w:r>
            <w:r w:rsidRPr="00030288">
              <w:rPr>
                <w:rFonts w:cstheme="minorHAnsi"/>
              </w:rPr>
              <w:t>, d</w:t>
            </w:r>
            <w:r w:rsidR="0098039D" w:rsidRPr="00030288">
              <w:rPr>
                <w:rFonts w:cstheme="minorHAnsi"/>
              </w:rPr>
              <w:t>ebe colocar “NA”.</w:t>
            </w:r>
          </w:p>
          <w:p w14:paraId="33D5DDB1" w14:textId="77777777" w:rsidR="0098039D" w:rsidRPr="00030288" w:rsidRDefault="0098039D" w:rsidP="00435ED2">
            <w:pPr>
              <w:rPr>
                <w:rFonts w:cstheme="minorHAnsi"/>
              </w:rPr>
            </w:pPr>
            <w:r w:rsidRPr="00030288">
              <w:rPr>
                <w:rFonts w:cstheme="minorHAnsi"/>
              </w:rPr>
              <w:t xml:space="preserve">  </w:t>
            </w:r>
          </w:p>
        </w:tc>
      </w:tr>
      <w:tr w:rsidR="0098039D" w:rsidRPr="00840C23" w14:paraId="1D2A612D" w14:textId="77777777" w:rsidTr="0098039D">
        <w:trPr>
          <w:trHeight w:val="1440"/>
        </w:trPr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4A26C216" w14:textId="77777777" w:rsidR="0098039D" w:rsidRPr="00030288" w:rsidRDefault="0098039D" w:rsidP="0098039D">
            <w:pPr>
              <w:spacing w:after="0"/>
              <w:rPr>
                <w:rFonts w:cstheme="minorHAnsi"/>
                <w:color w:val="000000"/>
              </w:rPr>
            </w:pPr>
            <w:r w:rsidRPr="00030288">
              <w:rPr>
                <w:rFonts w:cstheme="minorHAnsi"/>
                <w:color w:val="000000"/>
              </w:rPr>
              <w:t>13. Identificación del cliente</w:t>
            </w:r>
          </w:p>
          <w:p w14:paraId="4BF0A97F" w14:textId="77777777" w:rsidR="0098039D" w:rsidRPr="00030288" w:rsidRDefault="0098039D" w:rsidP="0098039D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4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6AA34F5E" w14:textId="00C8D692" w:rsidR="0098039D" w:rsidRPr="00030288" w:rsidRDefault="0098039D" w:rsidP="0098039D">
            <w:pPr>
              <w:spacing w:after="0"/>
              <w:rPr>
                <w:rFonts w:cstheme="minorHAnsi"/>
                <w:color w:val="000000"/>
              </w:rPr>
            </w:pPr>
            <w:r w:rsidRPr="00030288">
              <w:rPr>
                <w:rFonts w:cstheme="minorHAnsi"/>
                <w:color w:val="000000"/>
              </w:rPr>
              <w:t>Código secundario mediante el cual se identifica de forma individual al cliente o depositante, será propio de la institución (código alterno) del representante de la cuenta, la cual será distinta a la cédula y de ser posible diferente a la que tienen registrado en sus sistemas.</w:t>
            </w:r>
            <w:r w:rsidR="007B2439">
              <w:rPr>
                <w:rFonts w:cstheme="minorHAnsi"/>
                <w:color w:val="000000"/>
              </w:rPr>
              <w:t xml:space="preserve"> Este campo debe coincidir con la información reportada en el Átomo de Depósitos (AT02).</w:t>
            </w:r>
          </w:p>
          <w:p w14:paraId="1628A803" w14:textId="77777777" w:rsidR="0098039D" w:rsidRPr="00030288" w:rsidRDefault="0098039D" w:rsidP="0098039D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30C22CEB" w14:textId="77777777" w:rsidR="0098039D" w:rsidRPr="00030288" w:rsidRDefault="0098039D" w:rsidP="0098039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030288">
              <w:rPr>
                <w:rFonts w:cstheme="minorHAnsi"/>
              </w:rPr>
              <w:t>Texto de 50 caracteres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24420532" w14:textId="77777777" w:rsidR="0098039D" w:rsidRPr="00030288" w:rsidRDefault="0098039D" w:rsidP="0098039D">
            <w:pPr>
              <w:spacing w:after="0"/>
              <w:rPr>
                <w:rFonts w:cstheme="minorHAnsi"/>
                <w:color w:val="000000"/>
              </w:rPr>
            </w:pPr>
            <w:r w:rsidRPr="00030288">
              <w:rPr>
                <w:rFonts w:cstheme="minorHAnsi"/>
                <w:color w:val="000000"/>
              </w:rPr>
              <w:t>La cantidad de dígitos debe ser acorde con el tipo código utilizado por cada institución.</w:t>
            </w:r>
          </w:p>
          <w:p w14:paraId="13CE1021" w14:textId="77777777" w:rsidR="0098039D" w:rsidRPr="00030288" w:rsidRDefault="0098039D" w:rsidP="0098039D">
            <w:pPr>
              <w:spacing w:after="0"/>
              <w:rPr>
                <w:rFonts w:cstheme="minorHAnsi"/>
                <w:color w:val="000000"/>
              </w:rPr>
            </w:pPr>
          </w:p>
          <w:p w14:paraId="634D87F8" w14:textId="77777777" w:rsidR="0098039D" w:rsidRPr="00030288" w:rsidRDefault="0098039D" w:rsidP="0098039D">
            <w:pPr>
              <w:spacing w:after="0"/>
              <w:rPr>
                <w:rFonts w:cstheme="minorHAnsi"/>
                <w:color w:val="000000"/>
              </w:rPr>
            </w:pPr>
            <w:r w:rsidRPr="00030288">
              <w:rPr>
                <w:rFonts w:cstheme="minorHAnsi"/>
                <w:color w:val="000000"/>
              </w:rPr>
              <w:t xml:space="preserve">Con este nuevo campo, todas las transacciones de transferencias internacionales tendrán una identificación que será la misma en el banco, por ejemplo: </w:t>
            </w:r>
          </w:p>
          <w:p w14:paraId="306627F6" w14:textId="77777777" w:rsidR="0098039D" w:rsidRPr="00030288" w:rsidRDefault="0098039D" w:rsidP="0098039D">
            <w:pPr>
              <w:spacing w:after="0"/>
              <w:rPr>
                <w:rFonts w:cstheme="minorHAnsi"/>
                <w:color w:val="000000"/>
              </w:rPr>
            </w:pPr>
          </w:p>
          <w:p w14:paraId="5A17CD4D" w14:textId="77777777" w:rsidR="0098039D" w:rsidRPr="00030288" w:rsidRDefault="0098039D" w:rsidP="0098039D">
            <w:pPr>
              <w:spacing w:after="0"/>
              <w:rPr>
                <w:rFonts w:cstheme="minorHAnsi"/>
                <w:color w:val="000000"/>
              </w:rPr>
            </w:pPr>
            <w:r w:rsidRPr="00030288">
              <w:rPr>
                <w:rFonts w:cstheme="minorHAnsi"/>
                <w:color w:val="000000"/>
              </w:rPr>
              <w:t>Código alterno o secundario:  identificación del cliente 1-1111-111 en el Banco X, puede tener:</w:t>
            </w:r>
          </w:p>
          <w:p w14:paraId="5E2BE102" w14:textId="77777777" w:rsidR="0098039D" w:rsidRPr="00030288" w:rsidRDefault="0098039D" w:rsidP="0098039D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02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una transferencia enviada al país X</w:t>
            </w:r>
          </w:p>
          <w:p w14:paraId="5463E1FE" w14:textId="77777777" w:rsidR="0098039D" w:rsidRPr="00030288" w:rsidRDefault="0098039D" w:rsidP="0098039D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02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transferencias enviadas al país Y</w:t>
            </w:r>
          </w:p>
          <w:p w14:paraId="16E1A611" w14:textId="77777777" w:rsidR="0098039D" w:rsidRPr="00030288" w:rsidRDefault="0098039D" w:rsidP="0098039D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02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Una transferencia enviada al país Z</w:t>
            </w:r>
          </w:p>
          <w:p w14:paraId="69AC9704" w14:textId="77777777" w:rsidR="0098039D" w:rsidRPr="00030288" w:rsidRDefault="0098039D" w:rsidP="0098039D">
            <w:pPr>
              <w:spacing w:after="0"/>
              <w:rPr>
                <w:rFonts w:cstheme="minorHAnsi"/>
                <w:color w:val="000000"/>
              </w:rPr>
            </w:pPr>
            <w:r w:rsidRPr="00030288">
              <w:rPr>
                <w:rFonts w:cstheme="minorHAnsi"/>
                <w:color w:val="000000"/>
              </w:rPr>
              <w:t>Deberá reportarse la misma identificación del depositante, es decir 1-1111-111 para las tres (3) diferentes grupos de transferencias.</w:t>
            </w:r>
          </w:p>
        </w:tc>
      </w:tr>
      <w:tr w:rsidR="0098039D" w:rsidRPr="00840C23" w14:paraId="58A92F34" w14:textId="77777777" w:rsidTr="00030288">
        <w:trPr>
          <w:trHeight w:val="816"/>
        </w:trPr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7DDEC453" w14:textId="77777777" w:rsidR="0098039D" w:rsidRPr="00030288" w:rsidRDefault="00DD0A74" w:rsidP="0098039D">
            <w:pPr>
              <w:spacing w:after="0" w:line="25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14. </w:t>
            </w:r>
            <w:r w:rsidR="0098039D" w:rsidRPr="00030288">
              <w:rPr>
                <w:rFonts w:cstheme="minorHAnsi"/>
                <w:color w:val="000000"/>
              </w:rPr>
              <w:t>Identificación de Cuenta</w:t>
            </w:r>
          </w:p>
          <w:p w14:paraId="661EA135" w14:textId="77777777" w:rsidR="0098039D" w:rsidRPr="00030288" w:rsidRDefault="0098039D" w:rsidP="0098039D">
            <w:pPr>
              <w:spacing w:after="0" w:line="256" w:lineRule="auto"/>
              <w:rPr>
                <w:rFonts w:cstheme="minorHAnsi"/>
                <w:color w:val="000000"/>
              </w:rPr>
            </w:pPr>
          </w:p>
        </w:tc>
        <w:tc>
          <w:tcPr>
            <w:tcW w:w="4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401B4E3D" w14:textId="77777777" w:rsidR="0098039D" w:rsidRPr="00030288" w:rsidRDefault="0098039D" w:rsidP="0098039D">
            <w:pPr>
              <w:spacing w:after="0" w:line="256" w:lineRule="auto"/>
              <w:rPr>
                <w:rFonts w:cstheme="minorHAnsi"/>
                <w:color w:val="000000"/>
              </w:rPr>
            </w:pPr>
            <w:r w:rsidRPr="00030288">
              <w:rPr>
                <w:rFonts w:cstheme="minorHAnsi"/>
                <w:color w:val="000000"/>
              </w:rPr>
              <w:t xml:space="preserve">Código secundario mediante el cual se identifica la cuenta de forma individual y de ser posible diferente a la que tienen establecido en sus sistemas. </w:t>
            </w:r>
          </w:p>
          <w:p w14:paraId="729547C8" w14:textId="77777777" w:rsidR="0098039D" w:rsidRPr="00030288" w:rsidRDefault="0098039D" w:rsidP="0098039D">
            <w:pPr>
              <w:spacing w:after="0" w:line="256" w:lineRule="auto"/>
              <w:rPr>
                <w:rFonts w:cstheme="minorHAnsi"/>
                <w:color w:val="000000"/>
              </w:rPr>
            </w:pPr>
          </w:p>
          <w:p w14:paraId="63EFCAC0" w14:textId="1575CB2B" w:rsidR="0098039D" w:rsidRPr="00030288" w:rsidRDefault="0098039D" w:rsidP="0098039D">
            <w:pPr>
              <w:spacing w:after="0" w:line="256" w:lineRule="auto"/>
              <w:rPr>
                <w:rFonts w:cstheme="minorHAnsi"/>
                <w:color w:val="000000"/>
              </w:rPr>
            </w:pPr>
            <w:r w:rsidRPr="00030288">
              <w:rPr>
                <w:rFonts w:cstheme="minorHAnsi"/>
                <w:color w:val="000000"/>
              </w:rPr>
              <w:t xml:space="preserve">Un cliente o depositante podría tener más de una cuenta de depósitos por ejemplo de Ahorro y que cada cuenta del cliente se identifique con un código único para cada una (claro está que utilizarían el mismo código del cliente, pero con sus diferentes </w:t>
            </w:r>
            <w:r w:rsidRPr="00030288">
              <w:rPr>
                <w:rFonts w:cstheme="minorHAnsi"/>
                <w:color w:val="000000"/>
              </w:rPr>
              <w:lastRenderedPageBreak/>
              <w:t>códigos por cada cuenta).</w:t>
            </w:r>
            <w:r w:rsidR="009E5F4E">
              <w:rPr>
                <w:rFonts w:cstheme="minorHAnsi"/>
                <w:color w:val="000000"/>
              </w:rPr>
              <w:t xml:space="preserve"> Este campo debe coincidir con la información reportada en el Átomo de Depósitos (AT02).</w:t>
            </w:r>
          </w:p>
          <w:p w14:paraId="014214C6" w14:textId="77777777" w:rsidR="0098039D" w:rsidRPr="00030288" w:rsidRDefault="0098039D" w:rsidP="0098039D">
            <w:pPr>
              <w:spacing w:after="0" w:line="256" w:lineRule="auto"/>
              <w:rPr>
                <w:rFonts w:cstheme="minorHAnsi"/>
                <w:color w:val="00000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5F23AE6B" w14:textId="77777777" w:rsidR="0098039D" w:rsidRPr="00030288" w:rsidRDefault="0098039D" w:rsidP="0098039D">
            <w:pPr>
              <w:spacing w:after="0" w:line="256" w:lineRule="auto"/>
              <w:jc w:val="center"/>
              <w:rPr>
                <w:rFonts w:cstheme="minorHAnsi"/>
                <w:color w:val="000000"/>
              </w:rPr>
            </w:pPr>
            <w:r w:rsidRPr="00030288">
              <w:rPr>
                <w:rFonts w:cstheme="minorHAnsi"/>
              </w:rPr>
              <w:lastRenderedPageBreak/>
              <w:t>Texto de 50 caracteres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76E72B71" w14:textId="77777777" w:rsidR="0098039D" w:rsidRPr="00030288" w:rsidRDefault="0098039D" w:rsidP="0098039D">
            <w:pPr>
              <w:spacing w:after="0" w:line="256" w:lineRule="auto"/>
              <w:jc w:val="both"/>
              <w:rPr>
                <w:rFonts w:cstheme="minorHAnsi"/>
                <w:color w:val="000000"/>
              </w:rPr>
            </w:pPr>
            <w:r w:rsidRPr="00030288">
              <w:rPr>
                <w:rFonts w:cstheme="minorHAnsi"/>
                <w:color w:val="000000"/>
              </w:rPr>
              <w:t>La cantidad de dígitos debe ser acorde con el tipo código utilizado por cada institución.</w:t>
            </w:r>
          </w:p>
          <w:p w14:paraId="1D7A7AED" w14:textId="77777777" w:rsidR="0098039D" w:rsidRPr="00030288" w:rsidRDefault="0098039D" w:rsidP="0098039D">
            <w:pPr>
              <w:spacing w:after="0" w:line="256" w:lineRule="auto"/>
              <w:rPr>
                <w:rFonts w:cstheme="minorHAnsi"/>
                <w:color w:val="000000"/>
              </w:rPr>
            </w:pPr>
          </w:p>
          <w:p w14:paraId="7ECA86B9" w14:textId="77777777" w:rsidR="0098039D" w:rsidRPr="00030288" w:rsidRDefault="0098039D" w:rsidP="0098039D">
            <w:pPr>
              <w:spacing w:after="0" w:line="256" w:lineRule="auto"/>
              <w:jc w:val="both"/>
              <w:rPr>
                <w:rFonts w:cstheme="minorHAnsi"/>
                <w:color w:val="000000"/>
              </w:rPr>
            </w:pPr>
            <w:r w:rsidRPr="00030288">
              <w:rPr>
                <w:rFonts w:cstheme="minorHAnsi"/>
                <w:color w:val="000000"/>
              </w:rPr>
              <w:t>Con este nuevo campo, tod</w:t>
            </w:r>
            <w:r w:rsidR="00435ED2" w:rsidRPr="00030288">
              <w:rPr>
                <w:rFonts w:cstheme="minorHAnsi"/>
                <w:color w:val="000000"/>
              </w:rPr>
              <w:t>a</w:t>
            </w:r>
            <w:r w:rsidRPr="00030288">
              <w:rPr>
                <w:rFonts w:cstheme="minorHAnsi"/>
                <w:color w:val="000000"/>
              </w:rPr>
              <w:t>s l</w:t>
            </w:r>
            <w:r w:rsidR="00435ED2" w:rsidRPr="00030288">
              <w:rPr>
                <w:rFonts w:cstheme="minorHAnsi"/>
                <w:color w:val="000000"/>
              </w:rPr>
              <w:t>a</w:t>
            </w:r>
            <w:r w:rsidRPr="00030288">
              <w:rPr>
                <w:rFonts w:cstheme="minorHAnsi"/>
                <w:color w:val="000000"/>
              </w:rPr>
              <w:t xml:space="preserve">s </w:t>
            </w:r>
            <w:r w:rsidR="00435ED2" w:rsidRPr="00030288">
              <w:rPr>
                <w:rFonts w:cstheme="minorHAnsi"/>
                <w:color w:val="000000"/>
              </w:rPr>
              <w:t>transacciones de transferencias internacionales</w:t>
            </w:r>
            <w:r w:rsidRPr="00030288">
              <w:rPr>
                <w:rFonts w:cstheme="minorHAnsi"/>
                <w:color w:val="000000"/>
              </w:rPr>
              <w:t xml:space="preserve"> tendrán una identificación distinta, de ser posible, a la que tiene asignado en su sistema de información,</w:t>
            </w:r>
          </w:p>
          <w:p w14:paraId="3A9F62FD" w14:textId="77777777" w:rsidR="0098039D" w:rsidRPr="00030288" w:rsidRDefault="0098039D" w:rsidP="0098039D">
            <w:pPr>
              <w:spacing w:after="0" w:line="256" w:lineRule="auto"/>
              <w:jc w:val="both"/>
              <w:rPr>
                <w:rFonts w:cstheme="minorHAnsi"/>
                <w:color w:val="000000"/>
              </w:rPr>
            </w:pPr>
            <w:r w:rsidRPr="00030288">
              <w:rPr>
                <w:rFonts w:cstheme="minorHAnsi"/>
                <w:color w:val="000000"/>
              </w:rPr>
              <w:t xml:space="preserve"> </w:t>
            </w:r>
          </w:p>
          <w:p w14:paraId="0FA56073" w14:textId="77777777" w:rsidR="0098039D" w:rsidRPr="00030288" w:rsidRDefault="0098039D" w:rsidP="0098039D">
            <w:pPr>
              <w:spacing w:after="0" w:line="256" w:lineRule="auto"/>
              <w:jc w:val="both"/>
              <w:rPr>
                <w:rFonts w:cstheme="minorHAnsi"/>
                <w:color w:val="000000"/>
              </w:rPr>
            </w:pPr>
            <w:r w:rsidRPr="00030288">
              <w:rPr>
                <w:rFonts w:cstheme="minorHAnsi"/>
                <w:color w:val="000000"/>
              </w:rPr>
              <w:lastRenderedPageBreak/>
              <w:t xml:space="preserve">Si un mismo cliente </w:t>
            </w:r>
            <w:r w:rsidR="00030288" w:rsidRPr="00030288">
              <w:rPr>
                <w:rFonts w:cstheme="minorHAnsi"/>
                <w:color w:val="000000"/>
              </w:rPr>
              <w:t>realiza transferencias con</w:t>
            </w:r>
            <w:r w:rsidRPr="00030288">
              <w:rPr>
                <w:rFonts w:cstheme="minorHAnsi"/>
                <w:color w:val="000000"/>
              </w:rPr>
              <w:t xml:space="preserve"> varios productos pasivos del banco, deberá identificar cada uno: </w:t>
            </w:r>
          </w:p>
          <w:p w14:paraId="5671DBC4" w14:textId="77777777" w:rsidR="0098039D" w:rsidRPr="00030288" w:rsidRDefault="0098039D" w:rsidP="0098039D">
            <w:pPr>
              <w:spacing w:after="0" w:line="256" w:lineRule="auto"/>
              <w:ind w:left="301"/>
              <w:rPr>
                <w:rFonts w:cstheme="minorHAnsi"/>
                <w:color w:val="000000"/>
              </w:rPr>
            </w:pPr>
          </w:p>
          <w:p w14:paraId="6908CCAF" w14:textId="54F42D97" w:rsidR="0098039D" w:rsidRPr="00030288" w:rsidRDefault="0098039D" w:rsidP="0098039D">
            <w:pPr>
              <w:spacing w:after="0" w:line="256" w:lineRule="auto"/>
              <w:ind w:left="301"/>
              <w:rPr>
                <w:rFonts w:cstheme="minorHAnsi"/>
                <w:color w:val="000000"/>
              </w:rPr>
            </w:pPr>
            <w:r w:rsidRPr="00030288">
              <w:rPr>
                <w:rFonts w:cstheme="minorHAnsi"/>
                <w:color w:val="000000"/>
              </w:rPr>
              <w:t xml:space="preserve">Por ejemplo: El o la cliente JK-987-580 del </w:t>
            </w:r>
            <w:r w:rsidR="00FE0ACC">
              <w:rPr>
                <w:rFonts w:cstheme="minorHAnsi"/>
                <w:color w:val="000000"/>
              </w:rPr>
              <w:t>b</w:t>
            </w:r>
            <w:r w:rsidRPr="00030288">
              <w:rPr>
                <w:rFonts w:cstheme="minorHAnsi"/>
                <w:color w:val="000000"/>
              </w:rPr>
              <w:t>anco X tiene 2 cuentas de ahorro</w:t>
            </w:r>
            <w:r w:rsidR="00030288" w:rsidRPr="00030288">
              <w:rPr>
                <w:rFonts w:cstheme="minorHAnsi"/>
                <w:color w:val="000000"/>
              </w:rPr>
              <w:t xml:space="preserve"> y realiza transferencias con ambas cuentas,</w:t>
            </w:r>
            <w:r w:rsidRPr="00030288">
              <w:rPr>
                <w:rFonts w:cstheme="minorHAnsi"/>
                <w:color w:val="000000"/>
              </w:rPr>
              <w:t xml:space="preserve"> entonces, se deberá diferenciar cada una:</w:t>
            </w:r>
          </w:p>
          <w:p w14:paraId="11A157A7" w14:textId="77777777" w:rsidR="0098039D" w:rsidRPr="00030288" w:rsidRDefault="00030288" w:rsidP="0098039D">
            <w:pPr>
              <w:pStyle w:val="Prrafodelista"/>
              <w:numPr>
                <w:ilvl w:val="0"/>
                <w:numId w:val="3"/>
              </w:numPr>
              <w:spacing w:line="256" w:lineRule="auto"/>
              <w:ind w:left="86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02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Transferencia a país X</w:t>
            </w:r>
            <w:r w:rsidR="0098039D" w:rsidRPr="000302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 XZ– 028-0034-056</w:t>
            </w:r>
          </w:p>
          <w:p w14:paraId="75AC61BB" w14:textId="77777777" w:rsidR="0098039D" w:rsidRPr="00030288" w:rsidRDefault="00030288" w:rsidP="0098039D">
            <w:pPr>
              <w:pStyle w:val="Prrafodelista"/>
              <w:numPr>
                <w:ilvl w:val="0"/>
                <w:numId w:val="3"/>
              </w:numPr>
              <w:spacing w:line="256" w:lineRule="auto"/>
              <w:ind w:left="86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02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Transferencia a país Y</w:t>
            </w:r>
            <w:r w:rsidR="0098039D" w:rsidRPr="000302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2: XZ-- 055-00910-087</w:t>
            </w:r>
          </w:p>
          <w:p w14:paraId="712E2862" w14:textId="77777777" w:rsidR="0098039D" w:rsidRPr="00030288" w:rsidRDefault="0098039D" w:rsidP="0098039D">
            <w:pPr>
              <w:spacing w:after="0" w:line="256" w:lineRule="auto"/>
              <w:ind w:left="301"/>
              <w:jc w:val="both"/>
              <w:rPr>
                <w:rFonts w:cstheme="minorHAnsi"/>
                <w:color w:val="000000"/>
              </w:rPr>
            </w:pPr>
          </w:p>
          <w:p w14:paraId="12D035B5" w14:textId="17968B39" w:rsidR="0098039D" w:rsidRPr="00030288" w:rsidRDefault="0098039D" w:rsidP="0098039D">
            <w:pPr>
              <w:spacing w:after="0" w:line="256" w:lineRule="auto"/>
              <w:ind w:left="301"/>
              <w:jc w:val="both"/>
              <w:rPr>
                <w:rFonts w:cstheme="minorHAnsi"/>
                <w:color w:val="000000"/>
              </w:rPr>
            </w:pPr>
            <w:r w:rsidRPr="00030288">
              <w:rPr>
                <w:rFonts w:cstheme="minorHAnsi"/>
                <w:color w:val="000000"/>
              </w:rPr>
              <w:t xml:space="preserve">En resumen, se reportará cada </w:t>
            </w:r>
            <w:r w:rsidR="00030288" w:rsidRPr="00030288">
              <w:rPr>
                <w:rFonts w:cstheme="minorHAnsi"/>
                <w:color w:val="000000"/>
              </w:rPr>
              <w:t>transacción</w:t>
            </w:r>
            <w:r w:rsidR="00C27C7C">
              <w:rPr>
                <w:rFonts w:cstheme="minorHAnsi"/>
                <w:color w:val="000000"/>
              </w:rPr>
              <w:t xml:space="preserve"> con diferentes códigos</w:t>
            </w:r>
            <w:r w:rsidRPr="00030288">
              <w:rPr>
                <w:rFonts w:cstheme="minorHAnsi"/>
                <w:color w:val="000000"/>
              </w:rPr>
              <w:t xml:space="preserve"> para identificar al mismo cliente.</w:t>
            </w:r>
          </w:p>
        </w:tc>
      </w:tr>
      <w:tr w:rsidR="0098039D" w:rsidRPr="00840C23" w14:paraId="15ED83D7" w14:textId="77777777" w:rsidTr="0098039D">
        <w:trPr>
          <w:trHeight w:val="1440"/>
        </w:trPr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6D84BE8C" w14:textId="77777777" w:rsidR="0098039D" w:rsidRPr="00030288" w:rsidRDefault="00DD0A74" w:rsidP="0098039D">
            <w:pPr>
              <w:spacing w:after="0" w:line="25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 xml:space="preserve">15. </w:t>
            </w:r>
            <w:r w:rsidR="0098039D" w:rsidRPr="00030288">
              <w:rPr>
                <w:rFonts w:cstheme="minorHAnsi"/>
                <w:color w:val="000000"/>
              </w:rPr>
              <w:t>Actividad</w:t>
            </w:r>
          </w:p>
        </w:tc>
        <w:tc>
          <w:tcPr>
            <w:tcW w:w="4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188EE6D7" w14:textId="0CF86F1A" w:rsidR="0098039D" w:rsidRPr="00030288" w:rsidRDefault="0098039D" w:rsidP="0098039D">
            <w:pPr>
              <w:spacing w:after="0" w:line="256" w:lineRule="auto"/>
              <w:jc w:val="both"/>
              <w:rPr>
                <w:rFonts w:cstheme="minorHAnsi"/>
                <w:color w:val="000000"/>
              </w:rPr>
            </w:pPr>
            <w:r w:rsidRPr="00030288">
              <w:rPr>
                <w:rFonts w:cstheme="minorHAnsi"/>
                <w:color w:val="000000"/>
              </w:rPr>
              <w:t>Identificar la actividad principal a la cual se dedica el cliente o su principal fuente de ingreso declarada en la apertura de la cuenta.  Esta puede cambiar de acuerdo con los procesos de actualización que haya realizado la entidad con el cliente.</w:t>
            </w:r>
            <w:r w:rsidR="009E5F4E">
              <w:rPr>
                <w:rFonts w:cstheme="minorHAnsi"/>
                <w:color w:val="000000"/>
              </w:rPr>
              <w:t xml:space="preserve"> Este campo debe coincidir con la información reportada en el Átomo de Depósitos (AT02).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3D3A81D3" w14:textId="77777777" w:rsidR="0098039D" w:rsidRPr="00030288" w:rsidRDefault="0098039D" w:rsidP="0098039D">
            <w:pPr>
              <w:spacing w:after="0" w:line="256" w:lineRule="auto"/>
              <w:jc w:val="center"/>
              <w:rPr>
                <w:rFonts w:cstheme="minorHAnsi"/>
                <w:color w:val="000000"/>
              </w:rPr>
            </w:pPr>
            <w:r w:rsidRPr="00030288">
              <w:rPr>
                <w:rFonts w:cstheme="minorHAnsi"/>
              </w:rPr>
              <w:t>Texto de 19 caracteres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08934C94" w14:textId="77777777" w:rsidR="0098039D" w:rsidRPr="00030288" w:rsidRDefault="0098039D" w:rsidP="0098039D">
            <w:pPr>
              <w:spacing w:after="0" w:line="256" w:lineRule="auto"/>
              <w:rPr>
                <w:rFonts w:cstheme="minorHAnsi"/>
                <w:color w:val="000000"/>
              </w:rPr>
            </w:pPr>
            <w:r w:rsidRPr="00030288">
              <w:rPr>
                <w:rFonts w:cstheme="minorHAnsi"/>
              </w:rPr>
              <w:t>Tabla SB109 (CINU)</w:t>
            </w:r>
          </w:p>
        </w:tc>
      </w:tr>
    </w:tbl>
    <w:p w14:paraId="53E779D0" w14:textId="77777777" w:rsidR="0098039D" w:rsidRDefault="0098039D"/>
    <w:sectPr w:rsidR="0098039D" w:rsidSect="00DD0A74">
      <w:pgSz w:w="15840" w:h="12240" w:orient="landscape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D19D0"/>
    <w:multiLevelType w:val="hybridMultilevel"/>
    <w:tmpl w:val="F634BBEA"/>
    <w:lvl w:ilvl="0" w:tplc="1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4EE6AFF"/>
    <w:multiLevelType w:val="hybridMultilevel"/>
    <w:tmpl w:val="0F626576"/>
    <w:lvl w:ilvl="0" w:tplc="180A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180A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180A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6FD756A2"/>
    <w:multiLevelType w:val="hybridMultilevel"/>
    <w:tmpl w:val="9A20520A"/>
    <w:lvl w:ilvl="0" w:tplc="CD2A4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9ECB94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14A33A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0F41FB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D8509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BF4A0D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3E094C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9AB5B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2AE95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9D"/>
    <w:rsid w:val="00030288"/>
    <w:rsid w:val="002B7D1A"/>
    <w:rsid w:val="004100B8"/>
    <w:rsid w:val="00435ED2"/>
    <w:rsid w:val="006B290C"/>
    <w:rsid w:val="007B2439"/>
    <w:rsid w:val="0098039D"/>
    <w:rsid w:val="009E5F4E"/>
    <w:rsid w:val="00AC247C"/>
    <w:rsid w:val="00B61CA5"/>
    <w:rsid w:val="00C27C7C"/>
    <w:rsid w:val="00D86638"/>
    <w:rsid w:val="00DD0A74"/>
    <w:rsid w:val="00EA42EC"/>
    <w:rsid w:val="00F86FDC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B7241"/>
  <w15:chartTrackingRefBased/>
  <w15:docId w15:val="{1A2A3D09-96DE-450F-84DC-B1338ACA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039D"/>
    <w:pPr>
      <w:spacing w:after="0" w:line="240" w:lineRule="auto"/>
      <w:ind w:left="720"/>
      <w:contextualSpacing/>
    </w:pPr>
    <w:rPr>
      <w:rFonts w:ascii="Bookman Old Style" w:eastAsia="Times New Roman" w:hAnsi="Bookman Old Style" w:cs="Arial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7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7BE3BE17AB434B83A48C69C85B3D9B" ma:contentTypeVersion="13" ma:contentTypeDescription="Crear nuevo documento." ma:contentTypeScope="" ma:versionID="e79ce9eaadc03e576d80b2b43f576327">
  <xsd:schema xmlns:xsd="http://www.w3.org/2001/XMLSchema" xmlns:xs="http://www.w3.org/2001/XMLSchema" xmlns:p="http://schemas.microsoft.com/office/2006/metadata/properties" xmlns:ns3="b3672888-2b02-4f3c-8323-71d34f5e84ef" xmlns:ns4="15f74183-89dd-4e95-8b5f-be4c3728b4f7" targetNamespace="http://schemas.microsoft.com/office/2006/metadata/properties" ma:root="true" ma:fieldsID="99978e0d4fc6b2e7277805b42c2605ed" ns3:_="" ns4:_="">
    <xsd:import namespace="b3672888-2b02-4f3c-8323-71d34f5e84ef"/>
    <xsd:import namespace="15f74183-89dd-4e95-8b5f-be4c3728b4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72888-2b02-4f3c-8323-71d34f5e8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74183-89dd-4e95-8b5f-be4c3728b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78CAF4-FF66-403B-B548-40E25A4F15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7A1292-2B17-4B4C-BF1C-D4261D124D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A76FDE-CB87-4706-8FD7-E35F04D0D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72888-2b02-4f3c-8323-71d34f5e84ef"/>
    <ds:schemaRef ds:uri="15f74183-89dd-4e95-8b5f-be4c3728b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NORIS</dc:creator>
  <cp:keywords/>
  <dc:description/>
  <cp:lastModifiedBy>CARCAMO, MARTA</cp:lastModifiedBy>
  <cp:revision>2</cp:revision>
  <dcterms:created xsi:type="dcterms:W3CDTF">2021-12-13T16:01:00Z</dcterms:created>
  <dcterms:modified xsi:type="dcterms:W3CDTF">2021-12-13T16:01:00Z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0x010100587BE3BE17AB434B83A48C69C85B3D9B</vt:lpwstr>
  </property>
</Properties>
</file>