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1B9D8" w14:textId="51722726" w:rsidR="00C976E7" w:rsidRPr="00E344F5" w:rsidRDefault="00A02BEC" w:rsidP="00E344F5">
      <w:pPr>
        <w:jc w:val="center"/>
        <w:rPr>
          <w:rFonts w:ascii="Arial" w:hAnsi="Arial"/>
          <w:b/>
          <w:sz w:val="22"/>
        </w:rPr>
      </w:pPr>
      <w:bookmarkStart w:id="0" w:name="_Toc26349478"/>
      <w:bookmarkStart w:id="1" w:name="ÁtomodeDepositos"/>
      <w:r>
        <w:rPr>
          <w:rFonts w:ascii="Arial" w:hAnsi="Arial"/>
          <w:b/>
          <w:sz w:val="22"/>
        </w:rPr>
        <w:t xml:space="preserve">Anexo - </w:t>
      </w:r>
      <w:r w:rsidR="00C976E7" w:rsidRPr="00E344F5">
        <w:rPr>
          <w:rFonts w:ascii="Arial" w:hAnsi="Arial"/>
          <w:b/>
          <w:sz w:val="22"/>
        </w:rPr>
        <w:t>Átomo de Depósitos</w:t>
      </w:r>
      <w:bookmarkEnd w:id="0"/>
      <w:bookmarkEnd w:id="1"/>
      <w:r w:rsidR="00C976E7" w:rsidRPr="00E344F5">
        <w:rPr>
          <w:rFonts w:ascii="Arial" w:hAnsi="Arial"/>
          <w:b/>
          <w:sz w:val="22"/>
        </w:rPr>
        <w:t xml:space="preserve"> (AT02)</w:t>
      </w:r>
    </w:p>
    <w:p w14:paraId="18AC3FB9" w14:textId="23154C77" w:rsidR="00C976E7" w:rsidRPr="00E344F5" w:rsidRDefault="00C976E7" w:rsidP="00C976E7">
      <w:pPr>
        <w:jc w:val="center"/>
        <w:rPr>
          <w:rFonts w:ascii="Arial" w:hAnsi="Arial"/>
          <w:b/>
          <w:sz w:val="20"/>
        </w:rPr>
      </w:pPr>
    </w:p>
    <w:tbl>
      <w:tblPr>
        <w:tblW w:w="12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1"/>
        <w:gridCol w:w="3987"/>
        <w:gridCol w:w="1403"/>
        <w:gridCol w:w="4763"/>
      </w:tblGrid>
      <w:tr w:rsidR="00C976E7" w:rsidRPr="00E344F5" w14:paraId="69F2B385" w14:textId="77777777" w:rsidTr="00A02BEC">
        <w:trPr>
          <w:trHeight w:val="222"/>
          <w:tblHeader/>
        </w:trPr>
        <w:tc>
          <w:tcPr>
            <w:tcW w:w="2741" w:type="dxa"/>
            <w:shd w:val="clear" w:color="auto" w:fill="D9D9D9" w:themeFill="background1" w:themeFillShade="D9"/>
            <w:vAlign w:val="center"/>
          </w:tcPr>
          <w:p w14:paraId="3E44D012" w14:textId="5FFE1A1B" w:rsidR="00C976E7" w:rsidRPr="00A02BEC" w:rsidRDefault="00C976E7" w:rsidP="001923B7">
            <w:pPr>
              <w:jc w:val="center"/>
              <w:rPr>
                <w:rFonts w:ascii="Arial" w:hAnsi="Arial"/>
                <w:b/>
                <w:sz w:val="20"/>
              </w:rPr>
            </w:pPr>
            <w:bookmarkStart w:id="2" w:name="_Toc518114660"/>
            <w:bookmarkStart w:id="3" w:name="_Toc518114818"/>
            <w:bookmarkStart w:id="4" w:name="_Toc519525580"/>
            <w:bookmarkStart w:id="5" w:name="_Toc521257412"/>
            <w:bookmarkStart w:id="6" w:name="_Toc521257491"/>
            <w:r w:rsidRPr="00A02BEC">
              <w:rPr>
                <w:rFonts w:ascii="Arial" w:hAnsi="Arial"/>
                <w:b/>
                <w:sz w:val="20"/>
              </w:rPr>
              <w:t>Columna</w:t>
            </w:r>
          </w:p>
        </w:tc>
        <w:tc>
          <w:tcPr>
            <w:tcW w:w="3987" w:type="dxa"/>
            <w:shd w:val="clear" w:color="auto" w:fill="D9D9D9" w:themeFill="background1" w:themeFillShade="D9"/>
            <w:vAlign w:val="center"/>
          </w:tcPr>
          <w:p w14:paraId="70EF1D20" w14:textId="77777777" w:rsidR="00C976E7" w:rsidRPr="00A02BEC" w:rsidRDefault="00C976E7" w:rsidP="001923B7">
            <w:pPr>
              <w:jc w:val="center"/>
              <w:rPr>
                <w:rFonts w:ascii="Arial" w:hAnsi="Arial"/>
                <w:b/>
                <w:sz w:val="20"/>
              </w:rPr>
            </w:pPr>
            <w:r w:rsidRPr="00A02BEC">
              <w:rPr>
                <w:rFonts w:ascii="Arial" w:hAnsi="Arial"/>
                <w:b/>
                <w:sz w:val="20"/>
              </w:rPr>
              <w:t>Descripción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14:paraId="203D459E" w14:textId="77777777" w:rsidR="00C976E7" w:rsidRPr="00A02BEC" w:rsidRDefault="00C976E7" w:rsidP="001923B7">
            <w:pPr>
              <w:jc w:val="center"/>
              <w:rPr>
                <w:rFonts w:ascii="Arial" w:hAnsi="Arial"/>
                <w:b/>
                <w:sz w:val="20"/>
              </w:rPr>
            </w:pPr>
            <w:r w:rsidRPr="00A02BEC">
              <w:rPr>
                <w:rFonts w:ascii="Arial" w:hAnsi="Arial"/>
                <w:b/>
                <w:sz w:val="20"/>
              </w:rPr>
              <w:t>Formato</w:t>
            </w:r>
          </w:p>
        </w:tc>
        <w:tc>
          <w:tcPr>
            <w:tcW w:w="4763" w:type="dxa"/>
            <w:shd w:val="clear" w:color="auto" w:fill="D9D9D9" w:themeFill="background1" w:themeFillShade="D9"/>
            <w:vAlign w:val="center"/>
          </w:tcPr>
          <w:p w14:paraId="69A494F0" w14:textId="77777777" w:rsidR="00C976E7" w:rsidRPr="00A02BEC" w:rsidRDefault="00C976E7" w:rsidP="001923B7">
            <w:pPr>
              <w:jc w:val="center"/>
              <w:rPr>
                <w:rFonts w:ascii="Arial" w:hAnsi="Arial"/>
                <w:b/>
                <w:sz w:val="20"/>
              </w:rPr>
            </w:pPr>
            <w:r w:rsidRPr="00A02BEC">
              <w:rPr>
                <w:rFonts w:ascii="Arial" w:hAnsi="Arial"/>
                <w:b/>
                <w:sz w:val="20"/>
              </w:rPr>
              <w:t>Observaciones</w:t>
            </w:r>
          </w:p>
        </w:tc>
      </w:tr>
      <w:tr w:rsidR="00C976E7" w:rsidRPr="00E344F5" w14:paraId="4C39C4CB" w14:textId="77777777" w:rsidTr="00272350">
        <w:trPr>
          <w:cantSplit/>
          <w:trHeight w:val="682"/>
        </w:trPr>
        <w:tc>
          <w:tcPr>
            <w:tcW w:w="2741" w:type="dxa"/>
            <w:vAlign w:val="center"/>
          </w:tcPr>
          <w:p w14:paraId="1EDDEA95" w14:textId="77777777" w:rsidR="00C976E7" w:rsidRPr="00E344F5" w:rsidRDefault="00C976E7" w:rsidP="001923B7">
            <w:pPr>
              <w:rPr>
                <w:rFonts w:ascii="Arial" w:hAnsi="Arial"/>
                <w:sz w:val="20"/>
                <w:lang w:val="es-ES_tradnl"/>
              </w:rPr>
            </w:pPr>
            <w:r w:rsidRPr="00E344F5">
              <w:rPr>
                <w:rFonts w:ascii="Arial" w:hAnsi="Arial"/>
                <w:sz w:val="20"/>
                <w:lang w:val="es-ES_tradnl"/>
              </w:rPr>
              <w:t>(1) Fecha</w:t>
            </w:r>
          </w:p>
        </w:tc>
        <w:tc>
          <w:tcPr>
            <w:tcW w:w="3987" w:type="dxa"/>
            <w:vAlign w:val="center"/>
          </w:tcPr>
          <w:p w14:paraId="427D13DF" w14:textId="77777777" w:rsidR="00C976E7" w:rsidRPr="00E344F5" w:rsidRDefault="00C976E7" w:rsidP="001923B7">
            <w:pPr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>Corresponde a la fecha del periodo mensual que está reportando la información.</w:t>
            </w:r>
          </w:p>
        </w:tc>
        <w:tc>
          <w:tcPr>
            <w:tcW w:w="1403" w:type="dxa"/>
            <w:vAlign w:val="center"/>
          </w:tcPr>
          <w:p w14:paraId="53701F43" w14:textId="77777777" w:rsidR="00C976E7" w:rsidRPr="00E344F5" w:rsidRDefault="00C976E7" w:rsidP="001923B7">
            <w:pPr>
              <w:jc w:val="center"/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>AAAAMMDD</w:t>
            </w:r>
          </w:p>
        </w:tc>
        <w:tc>
          <w:tcPr>
            <w:tcW w:w="4763" w:type="dxa"/>
            <w:vAlign w:val="center"/>
          </w:tcPr>
          <w:p w14:paraId="0F6C3199" w14:textId="77777777" w:rsidR="00C976E7" w:rsidRPr="00E344F5" w:rsidRDefault="00C976E7" w:rsidP="001923B7">
            <w:pPr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>No debe registrar espacios en blancos o valores nulos</w:t>
            </w:r>
          </w:p>
          <w:p w14:paraId="44B76F68" w14:textId="77777777" w:rsidR="00C976E7" w:rsidRPr="00E344F5" w:rsidRDefault="00C976E7" w:rsidP="001923B7">
            <w:pPr>
              <w:pStyle w:val="font1"/>
              <w:spacing w:before="0" w:beforeAutospacing="0" w:after="0" w:afterAutospacing="0"/>
              <w:rPr>
                <w:rFonts w:eastAsia="Times New Roman"/>
              </w:rPr>
            </w:pPr>
          </w:p>
        </w:tc>
      </w:tr>
      <w:tr w:rsidR="00C976E7" w:rsidRPr="00E344F5" w14:paraId="34697A7E" w14:textId="77777777" w:rsidTr="00272350">
        <w:trPr>
          <w:cantSplit/>
          <w:trHeight w:val="445"/>
        </w:trPr>
        <w:tc>
          <w:tcPr>
            <w:tcW w:w="2741" w:type="dxa"/>
            <w:vAlign w:val="center"/>
          </w:tcPr>
          <w:p w14:paraId="5F3F7BAE" w14:textId="77777777" w:rsidR="00C976E7" w:rsidRPr="00E344F5" w:rsidRDefault="00C976E7" w:rsidP="001923B7">
            <w:pPr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 xml:space="preserve">(2) </w:t>
            </w:r>
            <w:proofErr w:type="spellStart"/>
            <w:r w:rsidRPr="00E344F5">
              <w:rPr>
                <w:rFonts w:ascii="Arial" w:hAnsi="Arial"/>
                <w:sz w:val="20"/>
              </w:rPr>
              <w:t>Cod_banco</w:t>
            </w:r>
            <w:proofErr w:type="spellEnd"/>
          </w:p>
        </w:tc>
        <w:tc>
          <w:tcPr>
            <w:tcW w:w="3987" w:type="dxa"/>
            <w:vAlign w:val="center"/>
          </w:tcPr>
          <w:p w14:paraId="2178BD8C" w14:textId="77777777" w:rsidR="00C976E7" w:rsidRPr="00E344F5" w:rsidRDefault="00C976E7" w:rsidP="001923B7">
            <w:pPr>
              <w:rPr>
                <w:rFonts w:ascii="Arial" w:hAnsi="Arial"/>
                <w:sz w:val="20"/>
                <w:lang w:val="es-PA"/>
              </w:rPr>
            </w:pPr>
            <w:r w:rsidRPr="00E344F5">
              <w:rPr>
                <w:rFonts w:ascii="Arial" w:hAnsi="Arial"/>
                <w:sz w:val="20"/>
              </w:rPr>
              <w:t>Corresponde al código asignado por la Superintendencia de Bancos de Panamá.</w:t>
            </w:r>
          </w:p>
        </w:tc>
        <w:tc>
          <w:tcPr>
            <w:tcW w:w="1403" w:type="dxa"/>
            <w:vAlign w:val="center"/>
          </w:tcPr>
          <w:p w14:paraId="300C5696" w14:textId="77777777" w:rsidR="00C976E7" w:rsidRPr="00E344F5" w:rsidRDefault="00C976E7" w:rsidP="001923B7">
            <w:pPr>
              <w:jc w:val="center"/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>Alfanumérico de tres dígitos</w:t>
            </w:r>
          </w:p>
        </w:tc>
        <w:tc>
          <w:tcPr>
            <w:tcW w:w="4763" w:type="dxa"/>
            <w:vAlign w:val="center"/>
          </w:tcPr>
          <w:p w14:paraId="64629135" w14:textId="77777777" w:rsidR="00C976E7" w:rsidRPr="00E344F5" w:rsidRDefault="00C976E7" w:rsidP="001923B7">
            <w:pPr>
              <w:pStyle w:val="font1"/>
              <w:spacing w:before="0" w:beforeAutospacing="0" w:after="0" w:afterAutospacing="0"/>
              <w:rPr>
                <w:rFonts w:eastAsia="Times New Roman"/>
              </w:rPr>
            </w:pPr>
            <w:r w:rsidRPr="00E344F5">
              <w:rPr>
                <w:rFonts w:eastAsia="Times New Roman"/>
              </w:rPr>
              <w:t>No debe registrar espacios en blancos o valores nulos</w:t>
            </w:r>
          </w:p>
        </w:tc>
      </w:tr>
      <w:tr w:rsidR="00C976E7" w:rsidRPr="00E344F5" w14:paraId="78A1CCA7" w14:textId="77777777" w:rsidTr="00272350">
        <w:trPr>
          <w:cantSplit/>
          <w:trHeight w:val="905"/>
        </w:trPr>
        <w:tc>
          <w:tcPr>
            <w:tcW w:w="2741" w:type="dxa"/>
            <w:vAlign w:val="center"/>
          </w:tcPr>
          <w:p w14:paraId="4D8CFE40" w14:textId="77777777" w:rsidR="00C976E7" w:rsidRPr="00E344F5" w:rsidRDefault="00C976E7" w:rsidP="001923B7">
            <w:pPr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 xml:space="preserve">(3) </w:t>
            </w:r>
            <w:proofErr w:type="spellStart"/>
            <w:r w:rsidRPr="00E344F5">
              <w:rPr>
                <w:rFonts w:ascii="Arial" w:hAnsi="Arial"/>
                <w:sz w:val="20"/>
              </w:rPr>
              <w:t>Cod_Subsidiaria</w:t>
            </w:r>
            <w:proofErr w:type="spellEnd"/>
          </w:p>
        </w:tc>
        <w:tc>
          <w:tcPr>
            <w:tcW w:w="3987" w:type="dxa"/>
            <w:vAlign w:val="center"/>
          </w:tcPr>
          <w:p w14:paraId="3502CC38" w14:textId="77777777" w:rsidR="00C976E7" w:rsidRPr="00E344F5" w:rsidRDefault="00C976E7" w:rsidP="001923B7">
            <w:pPr>
              <w:rPr>
                <w:rFonts w:ascii="Arial" w:hAnsi="Arial"/>
                <w:sz w:val="20"/>
                <w:lang w:val="es-ES_tradnl"/>
              </w:rPr>
            </w:pPr>
            <w:r w:rsidRPr="00E344F5">
              <w:rPr>
                <w:rFonts w:ascii="Arial" w:hAnsi="Arial"/>
                <w:sz w:val="20"/>
                <w:lang w:val="es-ES_tradnl"/>
              </w:rPr>
              <w:t>Corresponde al código de la Subsidiaria del banco.</w:t>
            </w:r>
          </w:p>
        </w:tc>
        <w:tc>
          <w:tcPr>
            <w:tcW w:w="1403" w:type="dxa"/>
            <w:vAlign w:val="center"/>
          </w:tcPr>
          <w:p w14:paraId="47615A8F" w14:textId="77777777" w:rsidR="00C976E7" w:rsidRPr="00E344F5" w:rsidRDefault="00C976E7" w:rsidP="001923B7">
            <w:pPr>
              <w:jc w:val="center"/>
              <w:rPr>
                <w:rFonts w:ascii="Arial" w:hAnsi="Arial"/>
                <w:sz w:val="20"/>
                <w:lang w:val="es-ES_tradnl"/>
              </w:rPr>
            </w:pPr>
            <w:r w:rsidRPr="00E344F5">
              <w:rPr>
                <w:rFonts w:ascii="Arial" w:hAnsi="Arial"/>
                <w:sz w:val="20"/>
                <w:lang w:val="es-ES_tradnl"/>
              </w:rPr>
              <w:t>Texto de cuatro caracteres</w:t>
            </w:r>
          </w:p>
        </w:tc>
        <w:tc>
          <w:tcPr>
            <w:tcW w:w="4763" w:type="dxa"/>
            <w:vAlign w:val="center"/>
          </w:tcPr>
          <w:p w14:paraId="7CDBEE19" w14:textId="77777777" w:rsidR="00C976E7" w:rsidRPr="00E344F5" w:rsidRDefault="00C976E7" w:rsidP="001923B7">
            <w:pPr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>No Aplica.  Debe colocar “NA”.</w:t>
            </w:r>
          </w:p>
          <w:p w14:paraId="1C4A203B" w14:textId="77777777" w:rsidR="00C976E7" w:rsidRPr="00E344F5" w:rsidRDefault="00C976E7" w:rsidP="001923B7">
            <w:pPr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 xml:space="preserve">  </w:t>
            </w:r>
          </w:p>
          <w:p w14:paraId="62C347AE" w14:textId="77777777" w:rsidR="00C976E7" w:rsidRPr="00E344F5" w:rsidRDefault="00C976E7" w:rsidP="001923B7">
            <w:pPr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>Permite “NR” si no tiene nada que reportar en el átomo de Depósitos.</w:t>
            </w:r>
          </w:p>
        </w:tc>
      </w:tr>
      <w:tr w:rsidR="00C976E7" w:rsidRPr="00E344F5" w14:paraId="36AA75E1" w14:textId="77777777" w:rsidTr="00272350">
        <w:trPr>
          <w:cantSplit/>
          <w:trHeight w:val="682"/>
        </w:trPr>
        <w:tc>
          <w:tcPr>
            <w:tcW w:w="2741" w:type="dxa"/>
            <w:vAlign w:val="center"/>
          </w:tcPr>
          <w:p w14:paraId="723518D4" w14:textId="77777777" w:rsidR="00C976E7" w:rsidRPr="00E344F5" w:rsidRDefault="00C976E7" w:rsidP="001923B7">
            <w:pPr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 xml:space="preserve">(4) </w:t>
            </w:r>
            <w:proofErr w:type="spellStart"/>
            <w:r w:rsidRPr="00E344F5">
              <w:rPr>
                <w:rFonts w:ascii="Arial" w:hAnsi="Arial"/>
                <w:sz w:val="20"/>
              </w:rPr>
              <w:t>Tipo_Depósito</w:t>
            </w:r>
            <w:proofErr w:type="spellEnd"/>
          </w:p>
        </w:tc>
        <w:tc>
          <w:tcPr>
            <w:tcW w:w="3987" w:type="dxa"/>
            <w:vAlign w:val="center"/>
          </w:tcPr>
          <w:p w14:paraId="7A066816" w14:textId="72151F06" w:rsidR="00C976E7" w:rsidRPr="00E344F5" w:rsidRDefault="00C976E7" w:rsidP="001923B7">
            <w:pPr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 xml:space="preserve">Corresponde al código del Tipo de Depósito que el Banco está </w:t>
            </w:r>
            <w:r w:rsidR="00A02BEC" w:rsidRPr="00E344F5">
              <w:rPr>
                <w:rFonts w:ascii="Arial" w:hAnsi="Arial"/>
                <w:sz w:val="20"/>
              </w:rPr>
              <w:t>captando (</w:t>
            </w:r>
            <w:r w:rsidRPr="00E344F5">
              <w:rPr>
                <w:rFonts w:ascii="Arial" w:hAnsi="Arial"/>
                <w:sz w:val="20"/>
              </w:rPr>
              <w:t>SB05).</w:t>
            </w:r>
          </w:p>
        </w:tc>
        <w:tc>
          <w:tcPr>
            <w:tcW w:w="1403" w:type="dxa"/>
            <w:vAlign w:val="center"/>
          </w:tcPr>
          <w:p w14:paraId="62D4038F" w14:textId="77777777" w:rsidR="00C976E7" w:rsidRPr="00E344F5" w:rsidRDefault="00C976E7" w:rsidP="001923B7">
            <w:pPr>
              <w:jc w:val="center"/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>Alfanumérico de dos dígitos</w:t>
            </w:r>
          </w:p>
        </w:tc>
        <w:tc>
          <w:tcPr>
            <w:tcW w:w="4763" w:type="dxa"/>
            <w:vAlign w:val="center"/>
          </w:tcPr>
          <w:p w14:paraId="7A99709E" w14:textId="77777777" w:rsidR="00C976E7" w:rsidRPr="00E344F5" w:rsidRDefault="00C976E7" w:rsidP="001923B7">
            <w:pPr>
              <w:rPr>
                <w:rFonts w:ascii="Arial" w:hAnsi="Arial"/>
                <w:sz w:val="20"/>
              </w:rPr>
            </w:pPr>
          </w:p>
          <w:p w14:paraId="6B825E46" w14:textId="77777777" w:rsidR="00C976E7" w:rsidRPr="00E344F5" w:rsidRDefault="00C976E7" w:rsidP="001923B7">
            <w:pPr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>Código válido de la tabla SB05.</w:t>
            </w:r>
          </w:p>
          <w:p w14:paraId="03678D75" w14:textId="77777777" w:rsidR="00C976E7" w:rsidRPr="00E344F5" w:rsidRDefault="00C976E7" w:rsidP="001923B7">
            <w:pPr>
              <w:rPr>
                <w:rFonts w:ascii="Arial" w:hAnsi="Arial"/>
                <w:sz w:val="20"/>
              </w:rPr>
            </w:pPr>
          </w:p>
        </w:tc>
      </w:tr>
      <w:tr w:rsidR="00C976E7" w:rsidRPr="00E344F5" w14:paraId="25415613" w14:textId="77777777" w:rsidTr="00272350">
        <w:trPr>
          <w:cantSplit/>
          <w:trHeight w:val="668"/>
        </w:trPr>
        <w:tc>
          <w:tcPr>
            <w:tcW w:w="2741" w:type="dxa"/>
            <w:vAlign w:val="center"/>
          </w:tcPr>
          <w:p w14:paraId="4479114E" w14:textId="77777777" w:rsidR="00C976E7" w:rsidRPr="00E344F5" w:rsidRDefault="00C976E7" w:rsidP="001923B7">
            <w:pPr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 xml:space="preserve">(5) </w:t>
            </w:r>
            <w:proofErr w:type="spellStart"/>
            <w:r w:rsidRPr="00E344F5">
              <w:rPr>
                <w:rFonts w:ascii="Arial" w:hAnsi="Arial"/>
                <w:sz w:val="20"/>
              </w:rPr>
              <w:t>Tipo_Cliente</w:t>
            </w:r>
            <w:proofErr w:type="spellEnd"/>
          </w:p>
        </w:tc>
        <w:tc>
          <w:tcPr>
            <w:tcW w:w="3987" w:type="dxa"/>
            <w:vAlign w:val="center"/>
          </w:tcPr>
          <w:p w14:paraId="7399ABA2" w14:textId="77777777" w:rsidR="00C976E7" w:rsidRPr="00E344F5" w:rsidRDefault="00C976E7" w:rsidP="001923B7">
            <w:pPr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>Corresponde al código del tipo de cliente que el Banco está captando. (SB20)</w:t>
            </w:r>
          </w:p>
        </w:tc>
        <w:tc>
          <w:tcPr>
            <w:tcW w:w="1403" w:type="dxa"/>
            <w:vAlign w:val="center"/>
          </w:tcPr>
          <w:p w14:paraId="695A5EEF" w14:textId="77777777" w:rsidR="00C976E7" w:rsidRPr="00E344F5" w:rsidRDefault="00C976E7" w:rsidP="001923B7">
            <w:pPr>
              <w:jc w:val="center"/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>Alfanumérico de dos dígitos</w:t>
            </w:r>
          </w:p>
        </w:tc>
        <w:tc>
          <w:tcPr>
            <w:tcW w:w="4763" w:type="dxa"/>
            <w:vAlign w:val="center"/>
          </w:tcPr>
          <w:p w14:paraId="4AF8E50B" w14:textId="77777777" w:rsidR="00C976E7" w:rsidRPr="00E344F5" w:rsidRDefault="00C976E7" w:rsidP="001923B7">
            <w:pPr>
              <w:rPr>
                <w:rFonts w:ascii="Arial" w:hAnsi="Arial"/>
                <w:sz w:val="20"/>
              </w:rPr>
            </w:pPr>
          </w:p>
          <w:p w14:paraId="4977B841" w14:textId="77777777" w:rsidR="00C976E7" w:rsidRPr="00E344F5" w:rsidRDefault="00C976E7" w:rsidP="001923B7">
            <w:pPr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>Código válido de la tabla SB20.</w:t>
            </w:r>
          </w:p>
          <w:p w14:paraId="10E4669D" w14:textId="77777777" w:rsidR="00C976E7" w:rsidRPr="00E344F5" w:rsidRDefault="00C976E7" w:rsidP="001923B7">
            <w:pPr>
              <w:rPr>
                <w:rFonts w:ascii="Arial" w:hAnsi="Arial"/>
                <w:sz w:val="20"/>
              </w:rPr>
            </w:pPr>
          </w:p>
        </w:tc>
      </w:tr>
      <w:tr w:rsidR="00C976E7" w:rsidRPr="00E344F5" w14:paraId="6FD868FE" w14:textId="77777777" w:rsidTr="00272350">
        <w:trPr>
          <w:cantSplit/>
          <w:trHeight w:val="682"/>
        </w:trPr>
        <w:tc>
          <w:tcPr>
            <w:tcW w:w="2741" w:type="dxa"/>
            <w:vAlign w:val="center"/>
          </w:tcPr>
          <w:p w14:paraId="568FE3DA" w14:textId="77777777" w:rsidR="00C976E7" w:rsidRPr="00E344F5" w:rsidRDefault="00C976E7" w:rsidP="001923B7">
            <w:pPr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>(6) Tasa</w:t>
            </w:r>
          </w:p>
        </w:tc>
        <w:tc>
          <w:tcPr>
            <w:tcW w:w="3987" w:type="dxa"/>
            <w:vAlign w:val="center"/>
          </w:tcPr>
          <w:p w14:paraId="692510F0" w14:textId="77777777" w:rsidR="00C976E7" w:rsidRPr="00E344F5" w:rsidRDefault="00C976E7" w:rsidP="001923B7">
            <w:pPr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>Corresponde a la tasa que pacta el Banco en la captación.</w:t>
            </w:r>
          </w:p>
        </w:tc>
        <w:tc>
          <w:tcPr>
            <w:tcW w:w="1403" w:type="dxa"/>
            <w:vAlign w:val="center"/>
          </w:tcPr>
          <w:p w14:paraId="4E07B2DC" w14:textId="77777777" w:rsidR="00C976E7" w:rsidRPr="00E344F5" w:rsidRDefault="00C976E7" w:rsidP="001923B7">
            <w:pPr>
              <w:jc w:val="center"/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>Numérico con dos decimales</w:t>
            </w:r>
          </w:p>
        </w:tc>
        <w:tc>
          <w:tcPr>
            <w:tcW w:w="4763" w:type="dxa"/>
            <w:vAlign w:val="center"/>
          </w:tcPr>
          <w:p w14:paraId="18657C70" w14:textId="77777777" w:rsidR="00C976E7" w:rsidRPr="00E344F5" w:rsidRDefault="00C976E7" w:rsidP="001923B7">
            <w:pPr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>Mayor o igual a cero con dos decimales.</w:t>
            </w:r>
          </w:p>
          <w:p w14:paraId="0863985A" w14:textId="77777777" w:rsidR="00C976E7" w:rsidRPr="00E344F5" w:rsidRDefault="00C976E7" w:rsidP="001923B7">
            <w:pPr>
              <w:rPr>
                <w:rFonts w:ascii="Arial" w:hAnsi="Arial"/>
                <w:sz w:val="20"/>
              </w:rPr>
            </w:pPr>
          </w:p>
        </w:tc>
      </w:tr>
      <w:tr w:rsidR="00C976E7" w:rsidRPr="00E344F5" w14:paraId="6BFA0DC2" w14:textId="77777777" w:rsidTr="00272350">
        <w:trPr>
          <w:cantSplit/>
          <w:trHeight w:val="1128"/>
        </w:trPr>
        <w:tc>
          <w:tcPr>
            <w:tcW w:w="2741" w:type="dxa"/>
            <w:tcBorders>
              <w:bottom w:val="nil"/>
            </w:tcBorders>
            <w:vAlign w:val="center"/>
          </w:tcPr>
          <w:p w14:paraId="5C40D03B" w14:textId="77777777" w:rsidR="00C976E7" w:rsidRPr="00E344F5" w:rsidRDefault="00C976E7" w:rsidP="001923B7">
            <w:pPr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>(7) Origen</w:t>
            </w:r>
          </w:p>
        </w:tc>
        <w:tc>
          <w:tcPr>
            <w:tcW w:w="3987" w:type="dxa"/>
            <w:tcBorders>
              <w:bottom w:val="nil"/>
            </w:tcBorders>
            <w:vAlign w:val="center"/>
          </w:tcPr>
          <w:p w14:paraId="3D81604B" w14:textId="77777777" w:rsidR="00C976E7" w:rsidRPr="00E344F5" w:rsidRDefault="00C976E7" w:rsidP="001923B7">
            <w:p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 xml:space="preserve">Corresponde a la clasificación del depósito bajo el criterio de </w:t>
            </w:r>
            <w:r w:rsidRPr="00E344F5">
              <w:rPr>
                <w:rFonts w:ascii="Arial" w:hAnsi="Arial"/>
                <w:color w:val="000000"/>
                <w:sz w:val="20"/>
                <w:u w:val="single"/>
              </w:rPr>
              <w:t>residencia/domicilio del cuentahabiente,</w:t>
            </w:r>
            <w:r w:rsidRPr="00E344F5">
              <w:rPr>
                <w:rFonts w:ascii="Arial" w:hAnsi="Arial"/>
                <w:color w:val="000000"/>
                <w:sz w:val="20"/>
              </w:rPr>
              <w:t xml:space="preserve"> con independencia de su nacionalidad o si es persona natural o jurídica.</w:t>
            </w:r>
          </w:p>
        </w:tc>
        <w:tc>
          <w:tcPr>
            <w:tcW w:w="1403" w:type="dxa"/>
            <w:tcBorders>
              <w:bottom w:val="nil"/>
            </w:tcBorders>
            <w:vAlign w:val="center"/>
          </w:tcPr>
          <w:p w14:paraId="2757F690" w14:textId="77777777" w:rsidR="00C976E7" w:rsidRPr="00E344F5" w:rsidRDefault="00C976E7" w:rsidP="001923B7">
            <w:pPr>
              <w:jc w:val="center"/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>Texto de un carácter</w:t>
            </w:r>
          </w:p>
        </w:tc>
        <w:tc>
          <w:tcPr>
            <w:tcW w:w="4763" w:type="dxa"/>
            <w:tcBorders>
              <w:bottom w:val="nil"/>
            </w:tcBorders>
            <w:vAlign w:val="center"/>
          </w:tcPr>
          <w:p w14:paraId="749AB991" w14:textId="519F1B77" w:rsidR="00C976E7" w:rsidRPr="00E344F5" w:rsidRDefault="00C976E7" w:rsidP="001923B7">
            <w:pPr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 xml:space="preserve">Sólo es </w:t>
            </w:r>
            <w:proofErr w:type="spellStart"/>
            <w:r w:rsidR="00A02BEC" w:rsidRPr="00E344F5">
              <w:rPr>
                <w:rFonts w:ascii="Arial" w:hAnsi="Arial"/>
                <w:sz w:val="20"/>
              </w:rPr>
              <w:t>valido</w:t>
            </w:r>
            <w:proofErr w:type="spellEnd"/>
            <w:r w:rsidR="00A02BEC" w:rsidRPr="00E344F5">
              <w:rPr>
                <w:rFonts w:ascii="Arial" w:hAnsi="Arial"/>
                <w:sz w:val="20"/>
              </w:rPr>
              <w:t xml:space="preserve"> las</w:t>
            </w:r>
            <w:r w:rsidRPr="00E344F5">
              <w:rPr>
                <w:rFonts w:ascii="Arial" w:hAnsi="Arial"/>
                <w:sz w:val="20"/>
              </w:rPr>
              <w:t xml:space="preserve"> letra ‘L’ para locales o ‘E’ para extranjero.</w:t>
            </w:r>
          </w:p>
          <w:p w14:paraId="6ECDE5E9" w14:textId="77777777" w:rsidR="00C976E7" w:rsidRPr="00E344F5" w:rsidRDefault="00C976E7" w:rsidP="001923B7">
            <w:pPr>
              <w:rPr>
                <w:rFonts w:ascii="Arial" w:hAnsi="Arial"/>
                <w:sz w:val="20"/>
              </w:rPr>
            </w:pPr>
          </w:p>
        </w:tc>
      </w:tr>
      <w:tr w:rsidR="00C976E7" w:rsidRPr="00E344F5" w14:paraId="40B91D9E" w14:textId="77777777" w:rsidTr="00272350">
        <w:trPr>
          <w:cantSplit/>
          <w:trHeight w:val="905"/>
        </w:trPr>
        <w:tc>
          <w:tcPr>
            <w:tcW w:w="2741" w:type="dxa"/>
            <w:vAlign w:val="center"/>
          </w:tcPr>
          <w:p w14:paraId="72EEBDE4" w14:textId="77777777" w:rsidR="00C976E7" w:rsidRPr="00E344F5" w:rsidRDefault="00C976E7" w:rsidP="001923B7">
            <w:pPr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 xml:space="preserve">(8) </w:t>
            </w:r>
            <w:proofErr w:type="spellStart"/>
            <w:r w:rsidRPr="00E344F5">
              <w:rPr>
                <w:rFonts w:ascii="Arial" w:hAnsi="Arial"/>
                <w:sz w:val="20"/>
              </w:rPr>
              <w:t>Cod_región</w:t>
            </w:r>
            <w:proofErr w:type="spellEnd"/>
          </w:p>
        </w:tc>
        <w:tc>
          <w:tcPr>
            <w:tcW w:w="3987" w:type="dxa"/>
            <w:vAlign w:val="center"/>
          </w:tcPr>
          <w:p w14:paraId="4BF7BBC1" w14:textId="77777777" w:rsidR="00C976E7" w:rsidRPr="00E344F5" w:rsidRDefault="00C976E7" w:rsidP="001923B7">
            <w:p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 xml:space="preserve">Corresponde al código del país o provincia de </w:t>
            </w:r>
            <w:r w:rsidRPr="00E344F5">
              <w:rPr>
                <w:rFonts w:ascii="Arial" w:hAnsi="Arial"/>
                <w:color w:val="000000"/>
                <w:sz w:val="20"/>
                <w:u w:val="single"/>
              </w:rPr>
              <w:t>residencia/domicilio del cuentahabiente,</w:t>
            </w:r>
            <w:r w:rsidRPr="00E344F5">
              <w:rPr>
                <w:rFonts w:ascii="Arial" w:hAnsi="Arial"/>
                <w:color w:val="000000"/>
                <w:sz w:val="20"/>
              </w:rPr>
              <w:t xml:space="preserve"> con independencia de su nacionalidad o si es persona natural o jurídica.</w:t>
            </w:r>
          </w:p>
        </w:tc>
        <w:tc>
          <w:tcPr>
            <w:tcW w:w="1403" w:type="dxa"/>
            <w:vAlign w:val="center"/>
          </w:tcPr>
          <w:p w14:paraId="79EAB28D" w14:textId="77777777" w:rsidR="00C976E7" w:rsidRPr="00E344F5" w:rsidRDefault="00C976E7" w:rsidP="001923B7">
            <w:pPr>
              <w:jc w:val="center"/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>Alfanumérico de tres dígitos</w:t>
            </w:r>
          </w:p>
        </w:tc>
        <w:tc>
          <w:tcPr>
            <w:tcW w:w="4763" w:type="dxa"/>
            <w:vAlign w:val="center"/>
          </w:tcPr>
          <w:p w14:paraId="3BD0CA74" w14:textId="376BAECB" w:rsidR="00C976E7" w:rsidRPr="00E344F5" w:rsidRDefault="00C976E7" w:rsidP="001923B7">
            <w:pPr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>Códigos validos de Países (SB03</w:t>
            </w:r>
            <w:r w:rsidR="00A02BEC" w:rsidRPr="00E344F5">
              <w:rPr>
                <w:rFonts w:ascii="Arial" w:hAnsi="Arial"/>
                <w:sz w:val="20"/>
              </w:rPr>
              <w:t>) con</w:t>
            </w:r>
            <w:r w:rsidRPr="00E344F5">
              <w:rPr>
                <w:rFonts w:ascii="Arial" w:hAnsi="Arial"/>
                <w:sz w:val="20"/>
              </w:rPr>
              <w:t xml:space="preserve"> destino “E” o Códigos validos de Provincias (SB04) destino “L”.</w:t>
            </w:r>
          </w:p>
          <w:p w14:paraId="53F3881A" w14:textId="77777777" w:rsidR="00C976E7" w:rsidRPr="00E344F5" w:rsidRDefault="00C976E7" w:rsidP="001923B7">
            <w:pPr>
              <w:rPr>
                <w:rFonts w:ascii="Arial" w:hAnsi="Arial"/>
                <w:sz w:val="20"/>
              </w:rPr>
            </w:pPr>
          </w:p>
        </w:tc>
      </w:tr>
      <w:tr w:rsidR="00C976E7" w:rsidRPr="00E344F5" w14:paraId="5E8A4462" w14:textId="77777777" w:rsidTr="00272350">
        <w:trPr>
          <w:cantSplit/>
          <w:trHeight w:val="1128"/>
        </w:trPr>
        <w:tc>
          <w:tcPr>
            <w:tcW w:w="2741" w:type="dxa"/>
            <w:vAlign w:val="center"/>
          </w:tcPr>
          <w:p w14:paraId="3F727C23" w14:textId="2BF2A407" w:rsidR="00C976E7" w:rsidRPr="00E344F5" w:rsidRDefault="00C976E7" w:rsidP="00C976E7">
            <w:pPr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 xml:space="preserve">(9) </w:t>
            </w:r>
            <w:proofErr w:type="spellStart"/>
            <w:r w:rsidRPr="00E344F5">
              <w:rPr>
                <w:rFonts w:ascii="Arial" w:hAnsi="Arial"/>
                <w:sz w:val="20"/>
              </w:rPr>
              <w:t>Fecha_Inicio</w:t>
            </w:r>
            <w:proofErr w:type="spellEnd"/>
          </w:p>
        </w:tc>
        <w:tc>
          <w:tcPr>
            <w:tcW w:w="3987" w:type="dxa"/>
            <w:vAlign w:val="center"/>
          </w:tcPr>
          <w:p w14:paraId="26111F63" w14:textId="5DF2D8FC" w:rsidR="00C976E7" w:rsidRPr="00A02BEC" w:rsidRDefault="00C976E7" w:rsidP="00C976E7">
            <w:pPr>
              <w:rPr>
                <w:rFonts w:ascii="Arial" w:hAnsi="Arial"/>
                <w:color w:val="3333FF"/>
                <w:sz w:val="20"/>
              </w:rPr>
            </w:pPr>
            <w:r w:rsidRPr="00A02BEC">
              <w:rPr>
                <w:rFonts w:ascii="Arial" w:hAnsi="Arial"/>
                <w:b/>
                <w:color w:val="3333FF"/>
                <w:sz w:val="20"/>
              </w:rPr>
              <w:t xml:space="preserve">Fecha inicial de apertura de la cuenta por primera vez o nueva.  Esta fecha no debe ser modificada mientras el cliente mantenga la cuenta con el Banco.  Para las renovaciones debe utilizar </w:t>
            </w:r>
            <w:r w:rsidR="00E344F5" w:rsidRPr="00A02BEC">
              <w:rPr>
                <w:rFonts w:ascii="Arial" w:hAnsi="Arial"/>
                <w:b/>
                <w:color w:val="3333FF"/>
                <w:sz w:val="20"/>
              </w:rPr>
              <w:t>el campo 14 de</w:t>
            </w:r>
            <w:r w:rsidR="00E63A18" w:rsidRPr="00A02BEC">
              <w:rPr>
                <w:rFonts w:ascii="Arial" w:hAnsi="Arial"/>
                <w:b/>
                <w:color w:val="3333FF"/>
                <w:sz w:val="20"/>
              </w:rPr>
              <w:t xml:space="preserve"> </w:t>
            </w:r>
            <w:r w:rsidRPr="00A02BEC">
              <w:rPr>
                <w:rFonts w:ascii="Arial" w:hAnsi="Arial"/>
                <w:b/>
                <w:color w:val="3333FF"/>
                <w:sz w:val="20"/>
                <w:u w:val="single"/>
              </w:rPr>
              <w:t>fecha de renovación</w:t>
            </w:r>
            <w:r w:rsidRPr="00A02BEC">
              <w:rPr>
                <w:rFonts w:ascii="Arial" w:hAnsi="Arial"/>
                <w:b/>
                <w:color w:val="3333FF"/>
                <w:sz w:val="20"/>
              </w:rPr>
              <w:t>.</w:t>
            </w:r>
          </w:p>
        </w:tc>
        <w:tc>
          <w:tcPr>
            <w:tcW w:w="1403" w:type="dxa"/>
            <w:vAlign w:val="center"/>
          </w:tcPr>
          <w:p w14:paraId="79EDD62E" w14:textId="7B9E846A" w:rsidR="00C976E7" w:rsidRPr="00E344F5" w:rsidRDefault="00C976E7" w:rsidP="00C976E7">
            <w:pPr>
              <w:jc w:val="center"/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>AAAAMMDD</w:t>
            </w:r>
          </w:p>
        </w:tc>
        <w:tc>
          <w:tcPr>
            <w:tcW w:w="4763" w:type="dxa"/>
            <w:vAlign w:val="center"/>
          </w:tcPr>
          <w:p w14:paraId="0B4ACF5F" w14:textId="77777777" w:rsidR="00C976E7" w:rsidRPr="00E344F5" w:rsidRDefault="00C976E7" w:rsidP="00C976E7">
            <w:pPr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 xml:space="preserve">Fecha valida de acuerdo al formato.  </w:t>
            </w:r>
          </w:p>
          <w:p w14:paraId="343E8BE9" w14:textId="77777777" w:rsidR="00C976E7" w:rsidRPr="00E344F5" w:rsidRDefault="00C976E7" w:rsidP="00C976E7">
            <w:pPr>
              <w:rPr>
                <w:rFonts w:ascii="Arial" w:hAnsi="Arial"/>
                <w:sz w:val="20"/>
              </w:rPr>
            </w:pPr>
          </w:p>
        </w:tc>
      </w:tr>
      <w:tr w:rsidR="00C976E7" w:rsidRPr="00E344F5" w14:paraId="3794F1E0" w14:textId="77777777" w:rsidTr="00272350">
        <w:trPr>
          <w:cantSplit/>
          <w:trHeight w:val="1128"/>
        </w:trPr>
        <w:tc>
          <w:tcPr>
            <w:tcW w:w="2741" w:type="dxa"/>
            <w:vAlign w:val="center"/>
          </w:tcPr>
          <w:p w14:paraId="4ED9CA51" w14:textId="77777777" w:rsidR="00C976E7" w:rsidRPr="00E344F5" w:rsidRDefault="00C976E7" w:rsidP="00C976E7">
            <w:pPr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lastRenderedPageBreak/>
              <w:t>(10) Fecha_ Vencimiento</w:t>
            </w:r>
          </w:p>
        </w:tc>
        <w:tc>
          <w:tcPr>
            <w:tcW w:w="3987" w:type="dxa"/>
            <w:vAlign w:val="center"/>
          </w:tcPr>
          <w:p w14:paraId="14335C6C" w14:textId="77777777" w:rsidR="00C976E7" w:rsidRPr="00E344F5" w:rsidRDefault="00C976E7" w:rsidP="00C976E7">
            <w:pPr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 xml:space="preserve">Corresponde a la fecha de vencimiento del depósito (plazo) cuando aplique. </w:t>
            </w:r>
          </w:p>
          <w:p w14:paraId="116D4A4B" w14:textId="77777777" w:rsidR="00C976E7" w:rsidRPr="00E344F5" w:rsidRDefault="00C976E7" w:rsidP="00C976E7">
            <w:pPr>
              <w:rPr>
                <w:rFonts w:ascii="Arial" w:hAnsi="Arial"/>
                <w:sz w:val="20"/>
              </w:rPr>
            </w:pPr>
          </w:p>
          <w:p w14:paraId="28C7D56C" w14:textId="77777777" w:rsidR="00C976E7" w:rsidRPr="00E344F5" w:rsidRDefault="00C976E7" w:rsidP="00C976E7">
            <w:pPr>
              <w:rPr>
                <w:rFonts w:ascii="Arial" w:hAnsi="Arial"/>
                <w:b/>
                <w:color w:val="FF0000"/>
                <w:sz w:val="20"/>
              </w:rPr>
            </w:pPr>
            <w:r w:rsidRPr="00A02BEC">
              <w:rPr>
                <w:rFonts w:ascii="Arial" w:hAnsi="Arial"/>
                <w:b/>
                <w:color w:val="3333FF"/>
                <w:sz w:val="20"/>
              </w:rPr>
              <w:t>Solo se modifica para los depósitos renovados.</w:t>
            </w:r>
          </w:p>
        </w:tc>
        <w:tc>
          <w:tcPr>
            <w:tcW w:w="1403" w:type="dxa"/>
            <w:vAlign w:val="center"/>
          </w:tcPr>
          <w:p w14:paraId="1553503A" w14:textId="77777777" w:rsidR="00C976E7" w:rsidRPr="00E344F5" w:rsidRDefault="00C976E7" w:rsidP="00C976E7">
            <w:pPr>
              <w:jc w:val="center"/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>AAAAMMDD</w:t>
            </w:r>
          </w:p>
        </w:tc>
        <w:tc>
          <w:tcPr>
            <w:tcW w:w="4763" w:type="dxa"/>
            <w:vAlign w:val="center"/>
          </w:tcPr>
          <w:p w14:paraId="38397931" w14:textId="77777777" w:rsidR="00C976E7" w:rsidRPr="00E344F5" w:rsidRDefault="00C976E7" w:rsidP="00C976E7">
            <w:pPr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 xml:space="preserve">Fecha valida de acuerdo al formato. </w:t>
            </w:r>
          </w:p>
          <w:p w14:paraId="0FEB2884" w14:textId="77777777" w:rsidR="00C976E7" w:rsidRPr="00E344F5" w:rsidRDefault="00C976E7" w:rsidP="00C976E7">
            <w:pPr>
              <w:rPr>
                <w:rFonts w:ascii="Arial" w:hAnsi="Arial"/>
                <w:sz w:val="20"/>
              </w:rPr>
            </w:pPr>
          </w:p>
          <w:p w14:paraId="4B7E1004" w14:textId="77777777" w:rsidR="00C976E7" w:rsidRPr="00E344F5" w:rsidRDefault="00C976E7" w:rsidP="00C976E7">
            <w:pPr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>Permite ‘NA’ para tipos depósitos que no tienen fecha de vencimiento.</w:t>
            </w:r>
          </w:p>
          <w:p w14:paraId="3E394EE8" w14:textId="77777777" w:rsidR="00C976E7" w:rsidRPr="00E344F5" w:rsidRDefault="00C976E7" w:rsidP="00C976E7">
            <w:pPr>
              <w:rPr>
                <w:rFonts w:ascii="Arial" w:hAnsi="Arial"/>
                <w:sz w:val="20"/>
              </w:rPr>
            </w:pPr>
          </w:p>
        </w:tc>
      </w:tr>
      <w:tr w:rsidR="00C976E7" w:rsidRPr="00E344F5" w14:paraId="3B648AA4" w14:textId="77777777" w:rsidTr="00272350">
        <w:trPr>
          <w:cantSplit/>
          <w:trHeight w:val="460"/>
        </w:trPr>
        <w:tc>
          <w:tcPr>
            <w:tcW w:w="2741" w:type="dxa"/>
            <w:vAlign w:val="center"/>
          </w:tcPr>
          <w:p w14:paraId="680FDED0" w14:textId="77777777" w:rsidR="00C976E7" w:rsidRPr="00E344F5" w:rsidRDefault="00C976E7" w:rsidP="00C976E7">
            <w:pPr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>(11) Monto</w:t>
            </w:r>
          </w:p>
        </w:tc>
        <w:tc>
          <w:tcPr>
            <w:tcW w:w="3987" w:type="dxa"/>
            <w:vAlign w:val="center"/>
          </w:tcPr>
          <w:p w14:paraId="43E3B37E" w14:textId="77777777" w:rsidR="00C976E7" w:rsidRPr="00E344F5" w:rsidRDefault="00C976E7" w:rsidP="00C976E7">
            <w:pPr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>Corresponde al saldo de la captación.</w:t>
            </w:r>
          </w:p>
        </w:tc>
        <w:tc>
          <w:tcPr>
            <w:tcW w:w="1403" w:type="dxa"/>
            <w:vAlign w:val="center"/>
          </w:tcPr>
          <w:p w14:paraId="1169D220" w14:textId="77777777" w:rsidR="00C976E7" w:rsidRPr="00E344F5" w:rsidRDefault="00C976E7" w:rsidP="00C976E7">
            <w:pPr>
              <w:jc w:val="center"/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 xml:space="preserve">Numérico </w:t>
            </w:r>
          </w:p>
        </w:tc>
        <w:tc>
          <w:tcPr>
            <w:tcW w:w="4763" w:type="dxa"/>
            <w:vAlign w:val="center"/>
          </w:tcPr>
          <w:p w14:paraId="23AED7F0" w14:textId="77777777" w:rsidR="00C976E7" w:rsidRPr="00E344F5" w:rsidRDefault="00C976E7" w:rsidP="00C976E7">
            <w:p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Mayor o igual a cero (0) con dos decimales.</w:t>
            </w:r>
          </w:p>
          <w:p w14:paraId="059EE284" w14:textId="77777777" w:rsidR="00C976E7" w:rsidRPr="00E344F5" w:rsidRDefault="00C976E7" w:rsidP="00C976E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C976E7" w:rsidRPr="00E344F5" w14:paraId="5F7C1C93" w14:textId="77777777" w:rsidTr="00272350">
        <w:trPr>
          <w:cantSplit/>
          <w:trHeight w:val="668"/>
        </w:trPr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14:paraId="1B278142" w14:textId="77777777" w:rsidR="00C976E7" w:rsidRPr="00E344F5" w:rsidRDefault="00C976E7" w:rsidP="00C976E7">
            <w:pPr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>(12) Monto Pignorado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vAlign w:val="center"/>
          </w:tcPr>
          <w:p w14:paraId="559685FC" w14:textId="77777777" w:rsidR="00C976E7" w:rsidRPr="00E344F5" w:rsidRDefault="00C976E7" w:rsidP="00C976E7">
            <w:pPr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>Corresponde al monto  pignorado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0A9EF98E" w14:textId="77777777" w:rsidR="00C976E7" w:rsidRPr="00E344F5" w:rsidRDefault="00C976E7" w:rsidP="00C976E7">
            <w:pPr>
              <w:jc w:val="center"/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 xml:space="preserve">Numérico </w:t>
            </w:r>
          </w:p>
        </w:tc>
        <w:tc>
          <w:tcPr>
            <w:tcW w:w="4763" w:type="dxa"/>
            <w:tcBorders>
              <w:bottom w:val="single" w:sz="4" w:space="0" w:color="auto"/>
            </w:tcBorders>
            <w:vAlign w:val="center"/>
          </w:tcPr>
          <w:p w14:paraId="0FD86A5F" w14:textId="77777777" w:rsidR="00C976E7" w:rsidRPr="00E344F5" w:rsidRDefault="00C976E7" w:rsidP="00C976E7">
            <w:pPr>
              <w:rPr>
                <w:rFonts w:ascii="Arial" w:hAnsi="Arial"/>
                <w:sz w:val="20"/>
              </w:rPr>
            </w:pPr>
          </w:p>
          <w:p w14:paraId="7C75714F" w14:textId="77777777" w:rsidR="00C976E7" w:rsidRPr="00E344F5" w:rsidRDefault="00C976E7" w:rsidP="00C976E7">
            <w:pPr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>Mayor o igual a cero con dos decimales</w:t>
            </w:r>
          </w:p>
          <w:p w14:paraId="4088E9BF" w14:textId="77777777" w:rsidR="00C976E7" w:rsidRPr="00E344F5" w:rsidRDefault="00C976E7" w:rsidP="00C976E7">
            <w:pPr>
              <w:rPr>
                <w:rFonts w:ascii="Arial" w:hAnsi="Arial"/>
                <w:sz w:val="20"/>
              </w:rPr>
            </w:pPr>
          </w:p>
        </w:tc>
      </w:tr>
      <w:tr w:rsidR="00C976E7" w:rsidRPr="00E344F5" w14:paraId="7618C8C1" w14:textId="77777777" w:rsidTr="00272350">
        <w:trPr>
          <w:cantSplit/>
          <w:trHeight w:val="460"/>
        </w:trPr>
        <w:tc>
          <w:tcPr>
            <w:tcW w:w="2741" w:type="dxa"/>
            <w:shd w:val="clear" w:color="auto" w:fill="auto"/>
            <w:vAlign w:val="center"/>
          </w:tcPr>
          <w:p w14:paraId="37612B97" w14:textId="77777777" w:rsidR="00C976E7" w:rsidRPr="00E344F5" w:rsidRDefault="00C976E7" w:rsidP="00C976E7">
            <w:p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(13) Numero _ renovación</w:t>
            </w:r>
          </w:p>
        </w:tc>
        <w:tc>
          <w:tcPr>
            <w:tcW w:w="3987" w:type="dxa"/>
            <w:shd w:val="clear" w:color="auto" w:fill="auto"/>
            <w:vAlign w:val="center"/>
          </w:tcPr>
          <w:p w14:paraId="25D200D2" w14:textId="77777777" w:rsidR="00C976E7" w:rsidRPr="00E344F5" w:rsidRDefault="00C976E7" w:rsidP="00C976E7">
            <w:p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Corresponde al número de veces que han sido renovados los plazos.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04763E47" w14:textId="77777777" w:rsidR="00C976E7" w:rsidRPr="00E344F5" w:rsidRDefault="00C976E7" w:rsidP="00C976E7">
            <w:pPr>
              <w:jc w:val="center"/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 xml:space="preserve">Numérico </w:t>
            </w:r>
          </w:p>
        </w:tc>
        <w:tc>
          <w:tcPr>
            <w:tcW w:w="4763" w:type="dxa"/>
            <w:shd w:val="clear" w:color="auto" w:fill="auto"/>
            <w:vAlign w:val="center"/>
          </w:tcPr>
          <w:p w14:paraId="473FCFEE" w14:textId="77777777" w:rsidR="00C976E7" w:rsidRPr="00E344F5" w:rsidRDefault="00C976E7" w:rsidP="00C976E7">
            <w:p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Mayor o igual a cero (0).</w:t>
            </w:r>
          </w:p>
        </w:tc>
      </w:tr>
      <w:tr w:rsidR="00C976E7" w:rsidRPr="00E344F5" w14:paraId="02FDDAC9" w14:textId="77777777" w:rsidTr="00272350">
        <w:trPr>
          <w:cantSplit/>
          <w:trHeight w:val="1351"/>
        </w:trPr>
        <w:tc>
          <w:tcPr>
            <w:tcW w:w="2741" w:type="dxa"/>
            <w:shd w:val="clear" w:color="auto" w:fill="auto"/>
            <w:vAlign w:val="center"/>
          </w:tcPr>
          <w:p w14:paraId="2FDA9883" w14:textId="77777777" w:rsidR="00C976E7" w:rsidRPr="00E344F5" w:rsidRDefault="00C976E7" w:rsidP="00C976E7">
            <w:p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(14) Fecha Renovación</w:t>
            </w:r>
          </w:p>
        </w:tc>
        <w:tc>
          <w:tcPr>
            <w:tcW w:w="3987" w:type="dxa"/>
            <w:shd w:val="clear" w:color="auto" w:fill="auto"/>
            <w:vAlign w:val="center"/>
          </w:tcPr>
          <w:p w14:paraId="7019B1ED" w14:textId="77777777" w:rsidR="00C976E7" w:rsidRPr="00A02BEC" w:rsidRDefault="00C976E7" w:rsidP="00C976E7">
            <w:pPr>
              <w:rPr>
                <w:rFonts w:ascii="Arial" w:hAnsi="Arial"/>
                <w:b/>
                <w:color w:val="3333FF"/>
                <w:sz w:val="20"/>
              </w:rPr>
            </w:pPr>
            <w:r w:rsidRPr="00A02BEC">
              <w:rPr>
                <w:rFonts w:ascii="Arial" w:hAnsi="Arial"/>
                <w:b/>
                <w:color w:val="3333FF"/>
                <w:sz w:val="20"/>
              </w:rPr>
              <w:t>Aplica cuando el depósito ha llegado a su vencimiento y el mismo es renovado con un nuevo vencimiento.</w:t>
            </w:r>
          </w:p>
          <w:p w14:paraId="24CBD739" w14:textId="77777777" w:rsidR="00C976E7" w:rsidRPr="00A02BEC" w:rsidRDefault="00C976E7" w:rsidP="00C976E7">
            <w:pPr>
              <w:rPr>
                <w:rFonts w:ascii="Arial" w:hAnsi="Arial"/>
                <w:b/>
                <w:color w:val="3333FF"/>
                <w:sz w:val="20"/>
              </w:rPr>
            </w:pPr>
          </w:p>
          <w:p w14:paraId="3B0C5E94" w14:textId="77777777" w:rsidR="00C976E7" w:rsidRPr="00E344F5" w:rsidRDefault="00C976E7" w:rsidP="00C976E7">
            <w:pPr>
              <w:rPr>
                <w:rFonts w:ascii="Arial" w:hAnsi="Arial"/>
                <w:b/>
                <w:color w:val="FF0000"/>
                <w:sz w:val="20"/>
              </w:rPr>
            </w:pPr>
            <w:r w:rsidRPr="00A02BEC">
              <w:rPr>
                <w:rFonts w:ascii="Arial" w:hAnsi="Arial"/>
                <w:b/>
                <w:color w:val="3333FF"/>
                <w:sz w:val="20"/>
              </w:rPr>
              <w:t>Se colocará la fecha de renovación del depósito.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6495286F" w14:textId="77777777" w:rsidR="00C976E7" w:rsidRPr="00E344F5" w:rsidRDefault="00C976E7" w:rsidP="00C976E7">
            <w:pPr>
              <w:jc w:val="center"/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AAAAMMDD</w:t>
            </w:r>
          </w:p>
        </w:tc>
        <w:tc>
          <w:tcPr>
            <w:tcW w:w="4763" w:type="dxa"/>
            <w:shd w:val="clear" w:color="auto" w:fill="auto"/>
            <w:vAlign w:val="center"/>
          </w:tcPr>
          <w:p w14:paraId="493D0DE7" w14:textId="77777777" w:rsidR="00C976E7" w:rsidRPr="00E344F5" w:rsidRDefault="00C976E7" w:rsidP="00C976E7">
            <w:p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 xml:space="preserve">Fecha valida de acuerdo al formato. </w:t>
            </w:r>
          </w:p>
          <w:p w14:paraId="464B401E" w14:textId="77777777" w:rsidR="00C976E7" w:rsidRPr="00E344F5" w:rsidRDefault="00C976E7" w:rsidP="00C976E7">
            <w:pPr>
              <w:rPr>
                <w:rFonts w:ascii="Arial" w:hAnsi="Arial"/>
                <w:color w:val="000000"/>
                <w:sz w:val="20"/>
              </w:rPr>
            </w:pPr>
          </w:p>
          <w:p w14:paraId="4FE799A3" w14:textId="77777777" w:rsidR="00C976E7" w:rsidRPr="00E344F5" w:rsidRDefault="00C976E7" w:rsidP="00C976E7">
            <w:p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Permite ‘NA’ para los casos que no aplica.</w:t>
            </w:r>
          </w:p>
        </w:tc>
      </w:tr>
      <w:tr w:rsidR="00C976E7" w:rsidRPr="00E344F5" w14:paraId="1F2580FE" w14:textId="77777777" w:rsidTr="00272350">
        <w:trPr>
          <w:cantSplit/>
          <w:trHeight w:val="460"/>
        </w:trPr>
        <w:tc>
          <w:tcPr>
            <w:tcW w:w="2741" w:type="dxa"/>
            <w:shd w:val="clear" w:color="auto" w:fill="auto"/>
            <w:vAlign w:val="center"/>
          </w:tcPr>
          <w:p w14:paraId="5FBEF8F4" w14:textId="77777777" w:rsidR="00C976E7" w:rsidRPr="00E344F5" w:rsidRDefault="00C976E7" w:rsidP="00C976E7">
            <w:p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(15) Intereses por Pagar</w:t>
            </w:r>
          </w:p>
        </w:tc>
        <w:tc>
          <w:tcPr>
            <w:tcW w:w="3987" w:type="dxa"/>
            <w:shd w:val="clear" w:color="auto" w:fill="auto"/>
            <w:vAlign w:val="center"/>
          </w:tcPr>
          <w:p w14:paraId="3C61A1BA" w14:textId="77777777" w:rsidR="00C976E7" w:rsidRPr="00E344F5" w:rsidRDefault="00C976E7" w:rsidP="00C976E7">
            <w:p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Corresponde a los intereses acumulado por pagar.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08863B6F" w14:textId="77777777" w:rsidR="00C976E7" w:rsidRPr="00E344F5" w:rsidRDefault="00C976E7" w:rsidP="00C976E7">
            <w:pPr>
              <w:jc w:val="center"/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Numérico</w:t>
            </w:r>
          </w:p>
        </w:tc>
        <w:tc>
          <w:tcPr>
            <w:tcW w:w="4763" w:type="dxa"/>
            <w:shd w:val="clear" w:color="auto" w:fill="auto"/>
            <w:vAlign w:val="center"/>
          </w:tcPr>
          <w:p w14:paraId="20A2C327" w14:textId="77777777" w:rsidR="00C976E7" w:rsidRPr="00E344F5" w:rsidRDefault="00C976E7" w:rsidP="00C976E7">
            <w:p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Mayor o igual a cero (0) con dos decimales</w:t>
            </w:r>
          </w:p>
        </w:tc>
      </w:tr>
      <w:tr w:rsidR="00C976E7" w:rsidRPr="00E344F5" w14:paraId="7EE420A5" w14:textId="77777777" w:rsidTr="00272350">
        <w:trPr>
          <w:cantSplit/>
          <w:trHeight w:val="445"/>
        </w:trPr>
        <w:tc>
          <w:tcPr>
            <w:tcW w:w="2741" w:type="dxa"/>
            <w:shd w:val="clear" w:color="auto" w:fill="auto"/>
            <w:vAlign w:val="center"/>
          </w:tcPr>
          <w:p w14:paraId="7CD2513C" w14:textId="77777777" w:rsidR="00C976E7" w:rsidRPr="00E344F5" w:rsidRDefault="00C976E7" w:rsidP="00C976E7">
            <w:p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(16) Periodicidad de pago de los intereses</w:t>
            </w:r>
          </w:p>
        </w:tc>
        <w:tc>
          <w:tcPr>
            <w:tcW w:w="3987" w:type="dxa"/>
            <w:shd w:val="clear" w:color="auto" w:fill="auto"/>
            <w:vAlign w:val="center"/>
          </w:tcPr>
          <w:p w14:paraId="2B835725" w14:textId="77777777" w:rsidR="00C976E7" w:rsidRPr="00E344F5" w:rsidRDefault="00C976E7" w:rsidP="00C976E7">
            <w:p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Corresponde al plan pactado de los pagos de intereses acumulado.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68B2F317" w14:textId="77777777" w:rsidR="00C976E7" w:rsidRPr="00E344F5" w:rsidRDefault="00C976E7" w:rsidP="00C976E7">
            <w:pPr>
              <w:jc w:val="center"/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Texto de dos dígitos</w:t>
            </w:r>
          </w:p>
        </w:tc>
        <w:tc>
          <w:tcPr>
            <w:tcW w:w="4763" w:type="dxa"/>
            <w:shd w:val="clear" w:color="auto" w:fill="auto"/>
            <w:vAlign w:val="center"/>
          </w:tcPr>
          <w:p w14:paraId="3424B297" w14:textId="77777777" w:rsidR="00C976E7" w:rsidRPr="00E344F5" w:rsidRDefault="00C976E7" w:rsidP="00C976E7">
            <w:p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Código válido de la SB26.</w:t>
            </w:r>
          </w:p>
        </w:tc>
      </w:tr>
      <w:tr w:rsidR="00C976E7" w:rsidRPr="00E344F5" w14:paraId="50FD39AB" w14:textId="77777777" w:rsidTr="00272350">
        <w:trPr>
          <w:cantSplit/>
          <w:trHeight w:val="445"/>
        </w:trPr>
        <w:tc>
          <w:tcPr>
            <w:tcW w:w="2741" w:type="dxa"/>
            <w:shd w:val="clear" w:color="auto" w:fill="auto"/>
            <w:vAlign w:val="center"/>
          </w:tcPr>
          <w:p w14:paraId="0A6EABFD" w14:textId="5EE046F0" w:rsidR="00C976E7" w:rsidRPr="00E344F5" w:rsidRDefault="00646570" w:rsidP="00646570">
            <w:p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 xml:space="preserve">(17) </w:t>
            </w:r>
            <w:r w:rsidR="009F2223" w:rsidRPr="00E344F5">
              <w:rPr>
                <w:rFonts w:ascii="Arial" w:hAnsi="Arial"/>
                <w:color w:val="000000"/>
                <w:sz w:val="20"/>
              </w:rPr>
              <w:t>I</w:t>
            </w:r>
            <w:r w:rsidR="00450CC5" w:rsidRPr="00E344F5">
              <w:rPr>
                <w:rFonts w:ascii="Arial" w:hAnsi="Arial"/>
                <w:color w:val="000000"/>
                <w:sz w:val="20"/>
              </w:rPr>
              <w:t>dentificación del cliente</w:t>
            </w:r>
            <w:r w:rsidR="008E09B5" w:rsidRPr="00E344F5">
              <w:rPr>
                <w:rFonts w:ascii="Arial" w:hAnsi="Arial"/>
                <w:color w:val="000000"/>
                <w:sz w:val="20"/>
              </w:rPr>
              <w:t xml:space="preserve"> </w:t>
            </w:r>
          </w:p>
          <w:p w14:paraId="02EB2867" w14:textId="77777777" w:rsidR="00C976E7" w:rsidRPr="00E344F5" w:rsidRDefault="00C976E7" w:rsidP="0064657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987" w:type="dxa"/>
            <w:shd w:val="clear" w:color="auto" w:fill="auto"/>
            <w:vAlign w:val="center"/>
          </w:tcPr>
          <w:p w14:paraId="045BB97E" w14:textId="437A6587" w:rsidR="00450CC5" w:rsidRPr="00E344F5" w:rsidRDefault="00450CC5" w:rsidP="00450CC5">
            <w:p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Código</w:t>
            </w:r>
            <w:r w:rsidR="00272350" w:rsidRPr="00E344F5">
              <w:rPr>
                <w:rFonts w:ascii="Arial" w:hAnsi="Arial"/>
                <w:color w:val="000000"/>
                <w:sz w:val="20"/>
              </w:rPr>
              <w:t xml:space="preserve"> secundario</w:t>
            </w:r>
            <w:r w:rsidRPr="00E344F5">
              <w:rPr>
                <w:rFonts w:ascii="Arial" w:hAnsi="Arial"/>
                <w:color w:val="000000"/>
                <w:sz w:val="20"/>
              </w:rPr>
              <w:t xml:space="preserve"> mediante el cual se identifica de forma individual al cliente</w:t>
            </w:r>
            <w:r w:rsidR="008E09B5" w:rsidRPr="00E344F5">
              <w:rPr>
                <w:rFonts w:ascii="Arial" w:hAnsi="Arial"/>
                <w:color w:val="000000"/>
                <w:sz w:val="20"/>
              </w:rPr>
              <w:t xml:space="preserve"> o depositante</w:t>
            </w:r>
            <w:r w:rsidRPr="00E344F5">
              <w:rPr>
                <w:rFonts w:ascii="Arial" w:hAnsi="Arial"/>
                <w:color w:val="000000"/>
                <w:sz w:val="20"/>
              </w:rPr>
              <w:t xml:space="preserve">, </w:t>
            </w:r>
            <w:r w:rsidR="00272350" w:rsidRPr="00E344F5">
              <w:rPr>
                <w:rFonts w:ascii="Arial" w:hAnsi="Arial"/>
                <w:color w:val="000000"/>
                <w:sz w:val="20"/>
              </w:rPr>
              <w:t xml:space="preserve">será </w:t>
            </w:r>
            <w:r w:rsidRPr="00E344F5">
              <w:rPr>
                <w:rFonts w:ascii="Arial" w:hAnsi="Arial"/>
                <w:color w:val="000000"/>
                <w:sz w:val="20"/>
              </w:rPr>
              <w:t>propio de la institución (</w:t>
            </w:r>
            <w:r w:rsidR="00272350" w:rsidRPr="00E344F5">
              <w:rPr>
                <w:rFonts w:ascii="Arial" w:hAnsi="Arial"/>
                <w:color w:val="000000"/>
                <w:sz w:val="20"/>
              </w:rPr>
              <w:t>código alterno</w:t>
            </w:r>
            <w:r w:rsidRPr="00E344F5">
              <w:rPr>
                <w:rFonts w:ascii="Arial" w:hAnsi="Arial"/>
                <w:color w:val="000000"/>
                <w:sz w:val="20"/>
              </w:rPr>
              <w:t>) del representante de la cuenta, la cual será distinta a la cédula y de ser posible diferente a la que tienen registrado en sus sistemas.</w:t>
            </w:r>
          </w:p>
          <w:p w14:paraId="1279AD98" w14:textId="059D7344" w:rsidR="00C976E7" w:rsidRPr="00E344F5" w:rsidRDefault="00C976E7" w:rsidP="00C976E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1056035" w14:textId="04E5C4CD" w:rsidR="00C976E7" w:rsidRPr="00E344F5" w:rsidRDefault="00DF3343" w:rsidP="00C976E7">
            <w:pPr>
              <w:jc w:val="center"/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>Texto de 50 caracteres</w:t>
            </w:r>
          </w:p>
        </w:tc>
        <w:tc>
          <w:tcPr>
            <w:tcW w:w="4763" w:type="dxa"/>
            <w:shd w:val="clear" w:color="auto" w:fill="auto"/>
            <w:vAlign w:val="center"/>
          </w:tcPr>
          <w:p w14:paraId="437F21B9" w14:textId="0A968B78" w:rsidR="00C976E7" w:rsidRPr="00E344F5" w:rsidRDefault="00450CC5" w:rsidP="00C976E7">
            <w:p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L</w:t>
            </w:r>
            <w:r w:rsidR="00DF3343" w:rsidRPr="00E344F5">
              <w:rPr>
                <w:rFonts w:ascii="Arial" w:hAnsi="Arial"/>
                <w:color w:val="000000"/>
                <w:sz w:val="20"/>
              </w:rPr>
              <w:t xml:space="preserve">a cantidad de dígitos debe ser acorde con el tipo código </w:t>
            </w:r>
            <w:r w:rsidRPr="00E344F5">
              <w:rPr>
                <w:rFonts w:ascii="Arial" w:hAnsi="Arial"/>
                <w:color w:val="000000"/>
                <w:sz w:val="20"/>
              </w:rPr>
              <w:t>utilizado por cada institución.</w:t>
            </w:r>
          </w:p>
          <w:p w14:paraId="4C712694" w14:textId="77777777" w:rsidR="00450CC5" w:rsidRPr="00E344F5" w:rsidRDefault="00450CC5" w:rsidP="00C976E7">
            <w:pPr>
              <w:rPr>
                <w:rFonts w:ascii="Arial" w:hAnsi="Arial"/>
                <w:color w:val="000000"/>
                <w:sz w:val="20"/>
              </w:rPr>
            </w:pPr>
          </w:p>
          <w:p w14:paraId="05117378" w14:textId="0556FFF9" w:rsidR="00272350" w:rsidRPr="00E344F5" w:rsidRDefault="00450CC5" w:rsidP="00450CC5">
            <w:p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 xml:space="preserve">Con este nuevo campo, todos los </w:t>
            </w:r>
            <w:r w:rsidR="008E09B5" w:rsidRPr="00E344F5">
              <w:rPr>
                <w:rFonts w:ascii="Arial" w:hAnsi="Arial"/>
                <w:color w:val="000000"/>
                <w:sz w:val="20"/>
              </w:rPr>
              <w:t>depositantes</w:t>
            </w:r>
            <w:r w:rsidRPr="00E344F5">
              <w:rPr>
                <w:rFonts w:ascii="Arial" w:hAnsi="Arial"/>
                <w:color w:val="000000"/>
                <w:sz w:val="20"/>
              </w:rPr>
              <w:t xml:space="preserve"> tendrán una identificación que será la misma en el banco, por ejemplo: </w:t>
            </w:r>
          </w:p>
          <w:p w14:paraId="2D9858E7" w14:textId="77777777" w:rsidR="00272350" w:rsidRPr="00E344F5" w:rsidRDefault="00272350" w:rsidP="00450CC5">
            <w:pPr>
              <w:rPr>
                <w:rFonts w:ascii="Arial" w:hAnsi="Arial"/>
                <w:color w:val="000000"/>
                <w:sz w:val="20"/>
              </w:rPr>
            </w:pPr>
          </w:p>
          <w:p w14:paraId="05F81A18" w14:textId="77777777" w:rsidR="00272350" w:rsidRPr="00E344F5" w:rsidRDefault="00272350" w:rsidP="00272350">
            <w:pPr>
              <w:ind w:left="301"/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 xml:space="preserve">Código alterno o secundario:  </w:t>
            </w:r>
            <w:r w:rsidR="00450CC5" w:rsidRPr="00E344F5">
              <w:rPr>
                <w:rFonts w:ascii="Arial" w:hAnsi="Arial"/>
                <w:color w:val="000000"/>
                <w:sz w:val="20"/>
              </w:rPr>
              <w:t>identificación del depositante 1-1111-111 en el Banco X</w:t>
            </w:r>
            <w:r w:rsidRPr="00E344F5">
              <w:rPr>
                <w:rFonts w:ascii="Arial" w:hAnsi="Arial"/>
                <w:color w:val="000000"/>
                <w:sz w:val="20"/>
              </w:rPr>
              <w:t>,</w:t>
            </w:r>
            <w:r w:rsidR="00450CC5" w:rsidRPr="00E344F5">
              <w:rPr>
                <w:rFonts w:ascii="Arial" w:hAnsi="Arial"/>
                <w:color w:val="000000"/>
                <w:sz w:val="20"/>
              </w:rPr>
              <w:t xml:space="preserve"> puede tener</w:t>
            </w:r>
            <w:r w:rsidRPr="00E344F5">
              <w:rPr>
                <w:rFonts w:ascii="Arial" w:hAnsi="Arial"/>
                <w:color w:val="000000"/>
                <w:sz w:val="20"/>
              </w:rPr>
              <w:t>:</w:t>
            </w:r>
          </w:p>
          <w:p w14:paraId="197AA90B" w14:textId="77777777" w:rsidR="00272350" w:rsidRPr="00E344F5" w:rsidRDefault="00450CC5" w:rsidP="0027235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una cuenta de ahorro corriente</w:t>
            </w:r>
          </w:p>
          <w:p w14:paraId="30A42A2D" w14:textId="77777777" w:rsidR="00272350" w:rsidRPr="00E344F5" w:rsidRDefault="00450CC5" w:rsidP="0027235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un plazo fijo</w:t>
            </w:r>
          </w:p>
          <w:p w14:paraId="7513C913" w14:textId="77777777" w:rsidR="00272350" w:rsidRPr="00E344F5" w:rsidRDefault="00450CC5" w:rsidP="0027235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 xml:space="preserve">una cuenta de navidad </w:t>
            </w:r>
          </w:p>
          <w:p w14:paraId="7F3D7D3C" w14:textId="18838872" w:rsidR="00450CC5" w:rsidRPr="00E344F5" w:rsidRDefault="008E09B5" w:rsidP="00272350">
            <w:pPr>
              <w:ind w:left="301"/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D</w:t>
            </w:r>
            <w:r w:rsidR="00272350" w:rsidRPr="00E344F5">
              <w:rPr>
                <w:rFonts w:ascii="Arial" w:hAnsi="Arial"/>
                <w:color w:val="000000"/>
                <w:sz w:val="20"/>
              </w:rPr>
              <w:t xml:space="preserve">eberá reportarse </w:t>
            </w:r>
            <w:r w:rsidR="00450CC5" w:rsidRPr="00E344F5">
              <w:rPr>
                <w:rFonts w:ascii="Arial" w:hAnsi="Arial"/>
                <w:color w:val="000000"/>
                <w:sz w:val="20"/>
              </w:rPr>
              <w:t>la misma identificación</w:t>
            </w:r>
            <w:r w:rsidRPr="00E344F5">
              <w:rPr>
                <w:rFonts w:ascii="Arial" w:hAnsi="Arial"/>
                <w:color w:val="000000"/>
                <w:sz w:val="20"/>
              </w:rPr>
              <w:t xml:space="preserve"> del depositante</w:t>
            </w:r>
            <w:r w:rsidR="00272350" w:rsidRPr="00E344F5">
              <w:rPr>
                <w:rFonts w:ascii="Arial" w:hAnsi="Arial"/>
                <w:color w:val="000000"/>
                <w:sz w:val="20"/>
              </w:rPr>
              <w:t>, es decir 1-1111-111</w:t>
            </w:r>
            <w:r w:rsidR="00450CC5" w:rsidRPr="00E344F5">
              <w:rPr>
                <w:rFonts w:ascii="Arial" w:hAnsi="Arial"/>
                <w:color w:val="000000"/>
                <w:sz w:val="20"/>
              </w:rPr>
              <w:t xml:space="preserve"> para los tres</w:t>
            </w:r>
            <w:r w:rsidRPr="00E344F5">
              <w:rPr>
                <w:rFonts w:ascii="Arial" w:hAnsi="Arial"/>
                <w:color w:val="000000"/>
                <w:sz w:val="20"/>
              </w:rPr>
              <w:t xml:space="preserve"> (3)</w:t>
            </w:r>
            <w:r w:rsidR="00450CC5" w:rsidRPr="00E344F5">
              <w:rPr>
                <w:rFonts w:ascii="Arial" w:hAnsi="Arial"/>
                <w:color w:val="000000"/>
                <w:sz w:val="20"/>
              </w:rPr>
              <w:t xml:space="preserve"> diferentes tipos de depósitos.</w:t>
            </w:r>
          </w:p>
          <w:p w14:paraId="2648C6BE" w14:textId="4FCB40BB" w:rsidR="00450CC5" w:rsidRPr="00E344F5" w:rsidRDefault="00450CC5" w:rsidP="00C976E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C976E7" w:rsidRPr="00E344F5" w14:paraId="4A1C9955" w14:textId="77777777" w:rsidTr="00272350">
        <w:trPr>
          <w:cantSplit/>
          <w:trHeight w:val="445"/>
        </w:trPr>
        <w:tc>
          <w:tcPr>
            <w:tcW w:w="2741" w:type="dxa"/>
            <w:shd w:val="clear" w:color="auto" w:fill="auto"/>
            <w:vAlign w:val="center"/>
          </w:tcPr>
          <w:p w14:paraId="6B5A4F0D" w14:textId="0E6DCC9D" w:rsidR="009B7976" w:rsidRPr="00E344F5" w:rsidRDefault="00A461B6" w:rsidP="00646570">
            <w:p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 xml:space="preserve">(18) </w:t>
            </w:r>
            <w:r w:rsidR="009F2223" w:rsidRPr="00E344F5">
              <w:rPr>
                <w:rFonts w:ascii="Arial" w:hAnsi="Arial"/>
                <w:color w:val="000000"/>
                <w:sz w:val="20"/>
              </w:rPr>
              <w:t>Identificación</w:t>
            </w:r>
            <w:r w:rsidR="00450CC5" w:rsidRPr="00E344F5">
              <w:rPr>
                <w:rFonts w:ascii="Arial" w:hAnsi="Arial"/>
                <w:color w:val="000000"/>
                <w:sz w:val="20"/>
              </w:rPr>
              <w:t xml:space="preserve"> de Cuenta</w:t>
            </w:r>
          </w:p>
          <w:p w14:paraId="60503695" w14:textId="77777777" w:rsidR="00C976E7" w:rsidRPr="00E344F5" w:rsidRDefault="00C976E7" w:rsidP="0064657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987" w:type="dxa"/>
            <w:shd w:val="clear" w:color="auto" w:fill="auto"/>
            <w:vAlign w:val="center"/>
          </w:tcPr>
          <w:p w14:paraId="4501B132" w14:textId="77777777" w:rsidR="008E09B5" w:rsidRPr="00E344F5" w:rsidRDefault="00450CC5" w:rsidP="00450CC5">
            <w:p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 xml:space="preserve">Código </w:t>
            </w:r>
            <w:r w:rsidR="00272350" w:rsidRPr="00E344F5">
              <w:rPr>
                <w:rFonts w:ascii="Arial" w:hAnsi="Arial"/>
                <w:color w:val="000000"/>
                <w:sz w:val="20"/>
              </w:rPr>
              <w:t xml:space="preserve">secundario </w:t>
            </w:r>
            <w:r w:rsidRPr="00E344F5">
              <w:rPr>
                <w:rFonts w:ascii="Arial" w:hAnsi="Arial"/>
                <w:color w:val="000000"/>
                <w:sz w:val="20"/>
              </w:rPr>
              <w:t xml:space="preserve">mediante el cual se identifica la cuenta de forma individual y de ser posible diferente a la que tienen establecido en sus sistemas. </w:t>
            </w:r>
          </w:p>
          <w:p w14:paraId="712C03EF" w14:textId="77777777" w:rsidR="008E09B5" w:rsidRPr="00E344F5" w:rsidRDefault="008E09B5" w:rsidP="00450CC5">
            <w:pPr>
              <w:rPr>
                <w:rFonts w:ascii="Arial" w:hAnsi="Arial"/>
                <w:color w:val="000000"/>
                <w:sz w:val="20"/>
              </w:rPr>
            </w:pPr>
          </w:p>
          <w:p w14:paraId="2556B651" w14:textId="6CF7956A" w:rsidR="00450CC5" w:rsidRPr="00E344F5" w:rsidRDefault="00450CC5" w:rsidP="00450CC5">
            <w:p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 xml:space="preserve">Un cliente </w:t>
            </w:r>
            <w:r w:rsidR="008E09B5" w:rsidRPr="00E344F5">
              <w:rPr>
                <w:rFonts w:ascii="Arial" w:hAnsi="Arial"/>
                <w:color w:val="000000"/>
                <w:sz w:val="20"/>
              </w:rPr>
              <w:t xml:space="preserve">o depositante </w:t>
            </w:r>
            <w:r w:rsidRPr="00E344F5">
              <w:rPr>
                <w:rFonts w:ascii="Arial" w:hAnsi="Arial"/>
                <w:color w:val="000000"/>
                <w:sz w:val="20"/>
              </w:rPr>
              <w:t xml:space="preserve">podría tener más de una cuenta de depósitos por ejemplo de Ahorro y que cada cuenta del cliente se identifique con un código único para cada una (claro </w:t>
            </w:r>
            <w:r w:rsidR="004F6496" w:rsidRPr="00E344F5">
              <w:rPr>
                <w:rFonts w:ascii="Arial" w:hAnsi="Arial"/>
                <w:color w:val="000000"/>
                <w:sz w:val="20"/>
              </w:rPr>
              <w:t>está</w:t>
            </w:r>
            <w:r w:rsidRPr="00E344F5">
              <w:rPr>
                <w:rFonts w:ascii="Arial" w:hAnsi="Arial"/>
                <w:color w:val="000000"/>
                <w:sz w:val="20"/>
              </w:rPr>
              <w:t xml:space="preserve"> que utilizarían el mismo código del cliente, pero con sus diferentes códigos por cada cuenta).</w:t>
            </w:r>
          </w:p>
          <w:p w14:paraId="004ADF01" w14:textId="4B8E18B5" w:rsidR="00C976E7" w:rsidRPr="00E344F5" w:rsidRDefault="00C976E7" w:rsidP="00C976E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5359D9EA" w14:textId="22AFA80B" w:rsidR="00C976E7" w:rsidRPr="00E344F5" w:rsidRDefault="009E664C" w:rsidP="00C976E7">
            <w:pPr>
              <w:jc w:val="center"/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>Texto de 50 caracteres</w:t>
            </w:r>
          </w:p>
        </w:tc>
        <w:tc>
          <w:tcPr>
            <w:tcW w:w="4763" w:type="dxa"/>
            <w:shd w:val="clear" w:color="auto" w:fill="auto"/>
            <w:vAlign w:val="center"/>
          </w:tcPr>
          <w:p w14:paraId="341D425B" w14:textId="39D1E420" w:rsidR="00C976E7" w:rsidRPr="00E344F5" w:rsidRDefault="00272350" w:rsidP="002E4EBE">
            <w:pPr>
              <w:jc w:val="both"/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L</w:t>
            </w:r>
            <w:r w:rsidR="00D24103" w:rsidRPr="00E344F5">
              <w:rPr>
                <w:rFonts w:ascii="Arial" w:hAnsi="Arial"/>
                <w:color w:val="000000"/>
                <w:sz w:val="20"/>
              </w:rPr>
              <w:t xml:space="preserve">a cantidad de dígitos debe ser acorde con el tipo código </w:t>
            </w:r>
            <w:r w:rsidR="00450CC5" w:rsidRPr="00E344F5">
              <w:rPr>
                <w:rFonts w:ascii="Arial" w:hAnsi="Arial"/>
                <w:color w:val="000000"/>
                <w:sz w:val="20"/>
              </w:rPr>
              <w:t>utilizado por cada institución.</w:t>
            </w:r>
          </w:p>
          <w:p w14:paraId="7BAF790C" w14:textId="77777777" w:rsidR="00450CC5" w:rsidRPr="00E344F5" w:rsidRDefault="00450CC5" w:rsidP="00C976E7">
            <w:pPr>
              <w:rPr>
                <w:rFonts w:ascii="Arial" w:hAnsi="Arial"/>
                <w:color w:val="000000"/>
                <w:sz w:val="20"/>
              </w:rPr>
            </w:pPr>
          </w:p>
          <w:p w14:paraId="0309BDD8" w14:textId="49935067" w:rsidR="002E4EBE" w:rsidRPr="00E344F5" w:rsidRDefault="00450CC5" w:rsidP="002E4EBE">
            <w:pPr>
              <w:jc w:val="both"/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Con este nuevo campo, todos los depósitos tendrán una identificación</w:t>
            </w:r>
            <w:r w:rsidR="002E4EBE" w:rsidRPr="00E344F5">
              <w:rPr>
                <w:rFonts w:ascii="Arial" w:hAnsi="Arial"/>
                <w:color w:val="000000"/>
                <w:sz w:val="20"/>
              </w:rPr>
              <w:t xml:space="preserve"> distinta</w:t>
            </w:r>
            <w:r w:rsidR="009F2223" w:rsidRPr="00E344F5">
              <w:rPr>
                <w:rFonts w:ascii="Arial" w:hAnsi="Arial"/>
                <w:color w:val="000000"/>
                <w:sz w:val="20"/>
              </w:rPr>
              <w:t>, de ser posible,</w:t>
            </w:r>
            <w:r w:rsidR="002E4EBE" w:rsidRPr="00E344F5">
              <w:rPr>
                <w:rFonts w:ascii="Arial" w:hAnsi="Arial"/>
                <w:color w:val="000000"/>
                <w:sz w:val="20"/>
              </w:rPr>
              <w:t xml:space="preserve"> a la que tiene asignado en su sistema de información</w:t>
            </w:r>
            <w:r w:rsidR="009F2223" w:rsidRPr="00E344F5">
              <w:rPr>
                <w:rFonts w:ascii="Arial" w:hAnsi="Arial"/>
                <w:color w:val="000000"/>
                <w:sz w:val="20"/>
              </w:rPr>
              <w:t>,</w:t>
            </w:r>
          </w:p>
          <w:p w14:paraId="6B80DC19" w14:textId="36DE23A2" w:rsidR="00450CC5" w:rsidRPr="00E344F5" w:rsidRDefault="002E4EBE" w:rsidP="002E4EBE">
            <w:pPr>
              <w:jc w:val="both"/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 xml:space="preserve"> </w:t>
            </w:r>
          </w:p>
          <w:p w14:paraId="41B0D551" w14:textId="60FA0B2C" w:rsidR="008E09B5" w:rsidRPr="00E344F5" w:rsidRDefault="00450CC5" w:rsidP="002E4EBE">
            <w:pPr>
              <w:jc w:val="both"/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S</w:t>
            </w:r>
            <w:r w:rsidR="009F2223" w:rsidRPr="00E344F5">
              <w:rPr>
                <w:rFonts w:ascii="Arial" w:hAnsi="Arial"/>
                <w:color w:val="000000"/>
                <w:sz w:val="20"/>
              </w:rPr>
              <w:t>i</w:t>
            </w:r>
            <w:r w:rsidRPr="00E344F5">
              <w:rPr>
                <w:rFonts w:ascii="Arial" w:hAnsi="Arial"/>
                <w:color w:val="000000"/>
                <w:sz w:val="20"/>
              </w:rPr>
              <w:t xml:space="preserve"> </w:t>
            </w:r>
            <w:r w:rsidR="009F2223" w:rsidRPr="00E344F5">
              <w:rPr>
                <w:rFonts w:ascii="Arial" w:hAnsi="Arial"/>
                <w:color w:val="000000"/>
                <w:sz w:val="20"/>
              </w:rPr>
              <w:t>un mismo cliente mantiene</w:t>
            </w:r>
            <w:r w:rsidRPr="00E344F5">
              <w:rPr>
                <w:rFonts w:ascii="Arial" w:hAnsi="Arial"/>
                <w:color w:val="000000"/>
                <w:sz w:val="20"/>
              </w:rPr>
              <w:t xml:space="preserve"> varios productos pasivos</w:t>
            </w:r>
            <w:r w:rsidR="009F2223" w:rsidRPr="00E344F5">
              <w:rPr>
                <w:rFonts w:ascii="Arial" w:hAnsi="Arial"/>
                <w:color w:val="000000"/>
                <w:sz w:val="20"/>
              </w:rPr>
              <w:t xml:space="preserve"> del banco</w:t>
            </w:r>
            <w:r w:rsidRPr="00E344F5">
              <w:rPr>
                <w:rFonts w:ascii="Arial" w:hAnsi="Arial"/>
                <w:color w:val="000000"/>
                <w:sz w:val="20"/>
              </w:rPr>
              <w:t>,</w:t>
            </w:r>
            <w:r w:rsidR="009F2223" w:rsidRPr="00E344F5">
              <w:rPr>
                <w:rFonts w:ascii="Arial" w:hAnsi="Arial"/>
                <w:color w:val="000000"/>
                <w:sz w:val="20"/>
              </w:rPr>
              <w:t xml:space="preserve"> deberá identificar cada uno</w:t>
            </w:r>
            <w:r w:rsidRPr="00E344F5">
              <w:rPr>
                <w:rFonts w:ascii="Arial" w:hAnsi="Arial"/>
                <w:color w:val="000000"/>
                <w:sz w:val="20"/>
              </w:rPr>
              <w:t xml:space="preserve">: </w:t>
            </w:r>
          </w:p>
          <w:p w14:paraId="4931AC47" w14:textId="77777777" w:rsidR="009F2223" w:rsidRPr="00E344F5" w:rsidRDefault="009F2223" w:rsidP="008E09B5">
            <w:pPr>
              <w:ind w:left="301"/>
              <w:rPr>
                <w:rFonts w:ascii="Arial" w:hAnsi="Arial"/>
                <w:color w:val="000000"/>
                <w:sz w:val="20"/>
              </w:rPr>
            </w:pPr>
          </w:p>
          <w:p w14:paraId="0D1760F2" w14:textId="0F3FE6C7" w:rsidR="008E09B5" w:rsidRPr="00E344F5" w:rsidRDefault="009F2223" w:rsidP="008E09B5">
            <w:pPr>
              <w:ind w:left="301"/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 xml:space="preserve">Por ejemplo: El o </w:t>
            </w:r>
            <w:r w:rsidR="001070F7" w:rsidRPr="00E344F5">
              <w:rPr>
                <w:rFonts w:ascii="Arial" w:hAnsi="Arial"/>
                <w:color w:val="000000"/>
                <w:sz w:val="20"/>
              </w:rPr>
              <w:t>la cliente</w:t>
            </w:r>
            <w:r w:rsidR="009F64C8" w:rsidRPr="00E344F5">
              <w:rPr>
                <w:rFonts w:ascii="Arial" w:hAnsi="Arial"/>
                <w:color w:val="000000"/>
                <w:sz w:val="20"/>
              </w:rPr>
              <w:t xml:space="preserve"> JK</w:t>
            </w:r>
            <w:r w:rsidR="00450CC5" w:rsidRPr="00E344F5">
              <w:rPr>
                <w:rFonts w:ascii="Arial" w:hAnsi="Arial"/>
                <w:color w:val="000000"/>
                <w:sz w:val="20"/>
              </w:rPr>
              <w:t>-</w:t>
            </w:r>
            <w:r w:rsidR="009F64C8" w:rsidRPr="00E344F5">
              <w:rPr>
                <w:rFonts w:ascii="Arial" w:hAnsi="Arial"/>
                <w:color w:val="000000"/>
                <w:sz w:val="20"/>
              </w:rPr>
              <w:t>987</w:t>
            </w:r>
            <w:r w:rsidR="00450CC5" w:rsidRPr="00E344F5">
              <w:rPr>
                <w:rFonts w:ascii="Arial" w:hAnsi="Arial"/>
                <w:color w:val="000000"/>
                <w:sz w:val="20"/>
              </w:rPr>
              <w:t>-</w:t>
            </w:r>
            <w:r w:rsidR="009F64C8" w:rsidRPr="00E344F5">
              <w:rPr>
                <w:rFonts w:ascii="Arial" w:hAnsi="Arial"/>
                <w:color w:val="000000"/>
                <w:sz w:val="20"/>
              </w:rPr>
              <w:t>580</w:t>
            </w:r>
            <w:r w:rsidR="00450CC5" w:rsidRPr="00E344F5">
              <w:rPr>
                <w:rFonts w:ascii="Arial" w:hAnsi="Arial"/>
                <w:color w:val="000000"/>
                <w:sz w:val="20"/>
              </w:rPr>
              <w:t xml:space="preserve"> </w:t>
            </w:r>
            <w:r w:rsidR="009F64C8" w:rsidRPr="00E344F5">
              <w:rPr>
                <w:rFonts w:ascii="Arial" w:hAnsi="Arial"/>
                <w:color w:val="000000"/>
                <w:sz w:val="20"/>
              </w:rPr>
              <w:t>del</w:t>
            </w:r>
            <w:r w:rsidR="00450CC5" w:rsidRPr="00E344F5">
              <w:rPr>
                <w:rFonts w:ascii="Arial" w:hAnsi="Arial"/>
                <w:color w:val="000000"/>
                <w:sz w:val="20"/>
              </w:rPr>
              <w:t xml:space="preserve"> Banco X</w:t>
            </w:r>
            <w:r w:rsidR="009F64C8" w:rsidRPr="00E344F5">
              <w:rPr>
                <w:rFonts w:ascii="Arial" w:hAnsi="Arial"/>
                <w:color w:val="000000"/>
                <w:sz w:val="20"/>
              </w:rPr>
              <w:t xml:space="preserve"> tiene 2 cuentas de ahorro, entonces, se deberá diferenciar cada una</w:t>
            </w:r>
            <w:r w:rsidR="00450CC5" w:rsidRPr="00E344F5">
              <w:rPr>
                <w:rFonts w:ascii="Arial" w:hAnsi="Arial"/>
                <w:color w:val="000000"/>
                <w:sz w:val="20"/>
              </w:rPr>
              <w:t xml:space="preserve"> </w:t>
            </w:r>
            <w:r w:rsidR="008E09B5" w:rsidRPr="00E344F5">
              <w:rPr>
                <w:rFonts w:ascii="Arial" w:hAnsi="Arial"/>
                <w:color w:val="000000"/>
                <w:sz w:val="20"/>
              </w:rPr>
              <w:t>:</w:t>
            </w:r>
          </w:p>
          <w:p w14:paraId="0C498EEB" w14:textId="7F0A0BF2" w:rsidR="008E09B5" w:rsidRPr="00E344F5" w:rsidRDefault="009F64C8" w:rsidP="008E09B5">
            <w:pPr>
              <w:pStyle w:val="ListParagraph"/>
              <w:numPr>
                <w:ilvl w:val="0"/>
                <w:numId w:val="6"/>
              </w:numPr>
              <w:ind w:left="868"/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Cuenta de ahorro 1: XZ</w:t>
            </w:r>
            <w:r w:rsidR="00812F8E" w:rsidRPr="00E344F5">
              <w:rPr>
                <w:rFonts w:ascii="Arial" w:hAnsi="Arial"/>
                <w:color w:val="000000"/>
                <w:sz w:val="20"/>
              </w:rPr>
              <w:t>– 02</w:t>
            </w:r>
            <w:r w:rsidRPr="00E344F5">
              <w:rPr>
                <w:rFonts w:ascii="Arial" w:hAnsi="Arial"/>
                <w:color w:val="000000"/>
                <w:sz w:val="20"/>
              </w:rPr>
              <w:t>8</w:t>
            </w:r>
            <w:r w:rsidR="00812F8E" w:rsidRPr="00E344F5">
              <w:rPr>
                <w:rFonts w:ascii="Arial" w:hAnsi="Arial"/>
                <w:color w:val="000000"/>
                <w:sz w:val="20"/>
              </w:rPr>
              <w:t>-00</w:t>
            </w:r>
            <w:r w:rsidRPr="00E344F5">
              <w:rPr>
                <w:rFonts w:ascii="Arial" w:hAnsi="Arial"/>
                <w:color w:val="000000"/>
                <w:sz w:val="20"/>
              </w:rPr>
              <w:t>34-</w:t>
            </w:r>
            <w:r w:rsidR="00812F8E" w:rsidRPr="00E344F5">
              <w:rPr>
                <w:rFonts w:ascii="Arial" w:hAnsi="Arial"/>
                <w:color w:val="000000"/>
                <w:sz w:val="20"/>
              </w:rPr>
              <w:t>0</w:t>
            </w:r>
            <w:r w:rsidRPr="00E344F5">
              <w:rPr>
                <w:rFonts w:ascii="Arial" w:hAnsi="Arial"/>
                <w:color w:val="000000"/>
                <w:sz w:val="20"/>
              </w:rPr>
              <w:t>56</w:t>
            </w:r>
          </w:p>
          <w:p w14:paraId="078968EA" w14:textId="67E3F01C" w:rsidR="008E09B5" w:rsidRPr="00E344F5" w:rsidRDefault="009F64C8" w:rsidP="008E09B5">
            <w:pPr>
              <w:pStyle w:val="ListParagraph"/>
              <w:numPr>
                <w:ilvl w:val="0"/>
                <w:numId w:val="6"/>
              </w:numPr>
              <w:ind w:left="868"/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Cuenta de ahorro 2: XZ-- 055</w:t>
            </w:r>
            <w:r w:rsidR="00812F8E" w:rsidRPr="00E344F5">
              <w:rPr>
                <w:rFonts w:ascii="Arial" w:hAnsi="Arial"/>
                <w:color w:val="000000"/>
                <w:sz w:val="20"/>
              </w:rPr>
              <w:t>-</w:t>
            </w:r>
            <w:r w:rsidRPr="00E344F5">
              <w:rPr>
                <w:rFonts w:ascii="Arial" w:hAnsi="Arial"/>
                <w:color w:val="000000"/>
                <w:sz w:val="20"/>
              </w:rPr>
              <w:t>00910-087</w:t>
            </w:r>
          </w:p>
          <w:p w14:paraId="6700A940" w14:textId="77777777" w:rsidR="009F64C8" w:rsidRPr="00E344F5" w:rsidRDefault="009F64C8" w:rsidP="008E09B5">
            <w:pPr>
              <w:ind w:left="301"/>
              <w:jc w:val="both"/>
              <w:rPr>
                <w:rFonts w:ascii="Arial" w:hAnsi="Arial"/>
                <w:color w:val="000000"/>
                <w:sz w:val="20"/>
              </w:rPr>
            </w:pPr>
          </w:p>
          <w:p w14:paraId="3909DAD3" w14:textId="516E8BCF" w:rsidR="00450CC5" w:rsidRPr="00E344F5" w:rsidRDefault="009F64C8" w:rsidP="008E09B5">
            <w:pPr>
              <w:ind w:left="301"/>
              <w:jc w:val="both"/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 xml:space="preserve">En resumen, se </w:t>
            </w:r>
            <w:r w:rsidR="00450CC5" w:rsidRPr="00E344F5">
              <w:rPr>
                <w:rFonts w:ascii="Arial" w:hAnsi="Arial"/>
                <w:color w:val="000000"/>
                <w:sz w:val="20"/>
              </w:rPr>
              <w:t>reportar</w:t>
            </w:r>
            <w:r w:rsidRPr="00E344F5">
              <w:rPr>
                <w:rFonts w:ascii="Arial" w:hAnsi="Arial"/>
                <w:color w:val="000000"/>
                <w:sz w:val="20"/>
              </w:rPr>
              <w:t>á</w:t>
            </w:r>
            <w:r w:rsidR="00450CC5" w:rsidRPr="00E344F5">
              <w:rPr>
                <w:rFonts w:ascii="Arial" w:hAnsi="Arial"/>
                <w:color w:val="000000"/>
                <w:sz w:val="20"/>
              </w:rPr>
              <w:t xml:space="preserve"> cada producto con diferentes códigos, </w:t>
            </w:r>
            <w:r w:rsidRPr="00E344F5">
              <w:rPr>
                <w:rFonts w:ascii="Arial" w:hAnsi="Arial"/>
                <w:color w:val="000000"/>
                <w:sz w:val="20"/>
              </w:rPr>
              <w:t>para identificar al</w:t>
            </w:r>
            <w:r w:rsidR="00E654B8" w:rsidRPr="00E344F5">
              <w:rPr>
                <w:rFonts w:ascii="Arial" w:hAnsi="Arial"/>
                <w:color w:val="000000"/>
                <w:sz w:val="20"/>
              </w:rPr>
              <w:t xml:space="preserve"> mismo cliente.</w:t>
            </w:r>
          </w:p>
        </w:tc>
      </w:tr>
      <w:tr w:rsidR="009B7976" w:rsidRPr="00E344F5" w14:paraId="6FA0A4BA" w14:textId="77777777" w:rsidTr="00272350">
        <w:trPr>
          <w:cantSplit/>
          <w:trHeight w:val="445"/>
        </w:trPr>
        <w:tc>
          <w:tcPr>
            <w:tcW w:w="2741" w:type="dxa"/>
            <w:shd w:val="clear" w:color="auto" w:fill="auto"/>
            <w:vAlign w:val="center"/>
          </w:tcPr>
          <w:p w14:paraId="0366E225" w14:textId="5672416F" w:rsidR="009B7976" w:rsidRPr="00E344F5" w:rsidRDefault="00A461B6" w:rsidP="00646570">
            <w:p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 xml:space="preserve">(19) </w:t>
            </w:r>
            <w:r w:rsidR="009B7976" w:rsidRPr="00E344F5">
              <w:rPr>
                <w:rFonts w:ascii="Arial" w:hAnsi="Arial"/>
                <w:color w:val="000000"/>
                <w:sz w:val="20"/>
              </w:rPr>
              <w:t>Actividad</w:t>
            </w:r>
          </w:p>
        </w:tc>
        <w:tc>
          <w:tcPr>
            <w:tcW w:w="3987" w:type="dxa"/>
            <w:shd w:val="clear" w:color="auto" w:fill="auto"/>
            <w:vAlign w:val="center"/>
          </w:tcPr>
          <w:p w14:paraId="1CFE6A20" w14:textId="631EAD30" w:rsidR="009B7976" w:rsidRPr="00E344F5" w:rsidRDefault="00504645" w:rsidP="002E4EBE">
            <w:pPr>
              <w:jc w:val="both"/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Identificar</w:t>
            </w:r>
            <w:r w:rsidR="009B7976" w:rsidRPr="00E344F5">
              <w:rPr>
                <w:rFonts w:ascii="Arial" w:hAnsi="Arial"/>
                <w:color w:val="000000"/>
                <w:sz w:val="20"/>
              </w:rPr>
              <w:t xml:space="preserve"> la </w:t>
            </w:r>
            <w:r w:rsidRPr="00E344F5">
              <w:rPr>
                <w:rFonts w:ascii="Arial" w:hAnsi="Arial"/>
                <w:color w:val="000000"/>
                <w:sz w:val="20"/>
              </w:rPr>
              <w:t>actividad</w:t>
            </w:r>
            <w:r w:rsidR="009B7976" w:rsidRPr="00E344F5">
              <w:rPr>
                <w:rFonts w:ascii="Arial" w:hAnsi="Arial"/>
                <w:color w:val="000000"/>
                <w:sz w:val="20"/>
              </w:rPr>
              <w:t xml:space="preserve"> principal a la cual se dedica el cliente o su principal fuente de ingreso</w:t>
            </w:r>
            <w:r w:rsidR="00E63A18" w:rsidRPr="00E344F5">
              <w:rPr>
                <w:rFonts w:ascii="Arial" w:hAnsi="Arial"/>
                <w:color w:val="000000"/>
                <w:sz w:val="20"/>
              </w:rPr>
              <w:t xml:space="preserve"> declarada en la apertura de la cuenta</w:t>
            </w:r>
            <w:r w:rsidR="00766FA5" w:rsidRPr="00E344F5">
              <w:rPr>
                <w:rFonts w:ascii="Arial" w:hAnsi="Arial"/>
                <w:color w:val="000000"/>
                <w:sz w:val="20"/>
              </w:rPr>
              <w:t xml:space="preserve">.  Esta puede cambiar </w:t>
            </w:r>
            <w:r w:rsidR="00E71421" w:rsidRPr="00E344F5">
              <w:rPr>
                <w:rFonts w:ascii="Arial" w:hAnsi="Arial"/>
                <w:color w:val="000000"/>
                <w:sz w:val="20"/>
              </w:rPr>
              <w:t>de acuerdo con</w:t>
            </w:r>
            <w:r w:rsidR="00766FA5" w:rsidRPr="00E344F5">
              <w:rPr>
                <w:rFonts w:ascii="Arial" w:hAnsi="Arial"/>
                <w:color w:val="000000"/>
                <w:sz w:val="20"/>
              </w:rPr>
              <w:t xml:space="preserve"> los procesos de actualización que haya realizado la entidad con el cliente.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673A0F58" w14:textId="64E1D279" w:rsidR="009B7976" w:rsidRPr="00E344F5" w:rsidRDefault="00153753" w:rsidP="00C976E7">
            <w:pPr>
              <w:jc w:val="center"/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>Texto de 19 caracteres</w:t>
            </w:r>
          </w:p>
        </w:tc>
        <w:tc>
          <w:tcPr>
            <w:tcW w:w="4763" w:type="dxa"/>
            <w:shd w:val="clear" w:color="auto" w:fill="auto"/>
            <w:vAlign w:val="center"/>
          </w:tcPr>
          <w:p w14:paraId="396B9785" w14:textId="083FEFB8" w:rsidR="009B7976" w:rsidRPr="00E344F5" w:rsidRDefault="00715014" w:rsidP="00C976E7">
            <w:p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 xml:space="preserve">Tabla </w:t>
            </w:r>
            <w:r w:rsidR="00E654B8" w:rsidRPr="00E344F5">
              <w:rPr>
                <w:rFonts w:ascii="Arial" w:hAnsi="Arial"/>
                <w:sz w:val="20"/>
              </w:rPr>
              <w:t>SB109</w:t>
            </w:r>
            <w:r w:rsidR="002723B0" w:rsidRPr="00E344F5">
              <w:rPr>
                <w:rFonts w:ascii="Arial" w:hAnsi="Arial"/>
                <w:sz w:val="20"/>
              </w:rPr>
              <w:t xml:space="preserve"> (CINU)</w:t>
            </w:r>
          </w:p>
        </w:tc>
      </w:tr>
      <w:tr w:rsidR="00403488" w:rsidRPr="00E344F5" w14:paraId="639A9D40" w14:textId="77777777" w:rsidTr="00272350">
        <w:trPr>
          <w:cantSplit/>
          <w:trHeight w:val="445"/>
        </w:trPr>
        <w:tc>
          <w:tcPr>
            <w:tcW w:w="2741" w:type="dxa"/>
            <w:shd w:val="clear" w:color="auto" w:fill="auto"/>
            <w:vAlign w:val="center"/>
          </w:tcPr>
          <w:p w14:paraId="057A78D7" w14:textId="73053136" w:rsidR="00403488" w:rsidRPr="00E344F5" w:rsidRDefault="00403488" w:rsidP="002B6C15">
            <w:p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(20) Tamaño Empresa</w:t>
            </w:r>
          </w:p>
        </w:tc>
        <w:tc>
          <w:tcPr>
            <w:tcW w:w="3987" w:type="dxa"/>
            <w:shd w:val="clear" w:color="auto" w:fill="auto"/>
            <w:vAlign w:val="center"/>
          </w:tcPr>
          <w:p w14:paraId="467A9244" w14:textId="5569AD8E" w:rsidR="00403488" w:rsidRPr="00E344F5" w:rsidRDefault="00403488" w:rsidP="00403488">
            <w:pPr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>Corresponde al código que clasifica al cliente en función del tamaño de empresa (préstamos corporativos) o en función de su status de jubilado o no (persona natural), según corresponda.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674A2373" w14:textId="3C6E71E6" w:rsidR="00403488" w:rsidRPr="00E344F5" w:rsidRDefault="00403488" w:rsidP="00403488">
            <w:pPr>
              <w:jc w:val="center"/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>Texto de 2 caracteres</w:t>
            </w:r>
          </w:p>
        </w:tc>
        <w:tc>
          <w:tcPr>
            <w:tcW w:w="4763" w:type="dxa"/>
            <w:shd w:val="clear" w:color="auto" w:fill="auto"/>
            <w:vAlign w:val="center"/>
          </w:tcPr>
          <w:p w14:paraId="223EF06F" w14:textId="62238DE3" w:rsidR="00403488" w:rsidRPr="00E344F5" w:rsidRDefault="00403488" w:rsidP="00403488">
            <w:pPr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 xml:space="preserve">Código válido de la tabla SB67.  </w:t>
            </w:r>
          </w:p>
        </w:tc>
      </w:tr>
      <w:tr w:rsidR="00A463B8" w:rsidRPr="00E344F5" w14:paraId="5E8FC7B2" w14:textId="77777777" w:rsidTr="00272350">
        <w:trPr>
          <w:cantSplit/>
          <w:trHeight w:val="445"/>
        </w:trPr>
        <w:tc>
          <w:tcPr>
            <w:tcW w:w="2741" w:type="dxa"/>
            <w:shd w:val="clear" w:color="auto" w:fill="auto"/>
            <w:vAlign w:val="center"/>
          </w:tcPr>
          <w:p w14:paraId="07C6B54B" w14:textId="10FD79D1" w:rsidR="00A463B8" w:rsidRPr="00E344F5" w:rsidRDefault="00504645" w:rsidP="00646570">
            <w:p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(2</w:t>
            </w:r>
            <w:r w:rsidR="003B3BD3" w:rsidRPr="00E344F5">
              <w:rPr>
                <w:rFonts w:ascii="Arial" w:hAnsi="Arial"/>
                <w:color w:val="000000"/>
                <w:sz w:val="20"/>
              </w:rPr>
              <w:t>1</w:t>
            </w:r>
            <w:r w:rsidRPr="00E344F5">
              <w:rPr>
                <w:rFonts w:ascii="Arial" w:hAnsi="Arial"/>
                <w:color w:val="000000"/>
                <w:sz w:val="20"/>
              </w:rPr>
              <w:t xml:space="preserve">) </w:t>
            </w:r>
            <w:r w:rsidR="00E654B8" w:rsidRPr="00E344F5">
              <w:rPr>
                <w:rFonts w:ascii="Arial" w:hAnsi="Arial"/>
                <w:color w:val="000000"/>
                <w:sz w:val="20"/>
              </w:rPr>
              <w:t>Género</w:t>
            </w:r>
          </w:p>
          <w:p w14:paraId="6145DD48" w14:textId="77777777" w:rsidR="00A463B8" w:rsidRPr="00E344F5" w:rsidRDefault="00A463B8" w:rsidP="0064657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987" w:type="dxa"/>
            <w:shd w:val="clear" w:color="auto" w:fill="auto"/>
            <w:vAlign w:val="center"/>
          </w:tcPr>
          <w:p w14:paraId="504705CC" w14:textId="740523C4" w:rsidR="00A463B8" w:rsidRPr="00E344F5" w:rsidRDefault="00E654B8" w:rsidP="00403488">
            <w:p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>Corresponde al género, masculino o femenino, del cuentahabiente.  Aplica en caso de depósitos de persona natural y a depósitos cuyo tamaño de empresa está clasificado (Microempresa), siempre que el depósito se hubiere</w:t>
            </w:r>
            <w:r w:rsidR="00766FA5" w:rsidRPr="00E344F5">
              <w:rPr>
                <w:rFonts w:ascii="Arial" w:hAnsi="Arial"/>
                <w:sz w:val="20"/>
              </w:rPr>
              <w:t xml:space="preserve"> aperturado</w:t>
            </w:r>
            <w:r w:rsidRPr="00E344F5">
              <w:rPr>
                <w:rFonts w:ascii="Arial" w:hAnsi="Arial"/>
                <w:sz w:val="20"/>
              </w:rPr>
              <w:t xml:space="preserve"> a una persona natural.</w:t>
            </w:r>
            <w:r w:rsidR="00F04D91" w:rsidRPr="00E344F5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4FB63980" w14:textId="33B255AE" w:rsidR="00A463B8" w:rsidRPr="00E344F5" w:rsidRDefault="00784F99" w:rsidP="00F04D91">
            <w:pPr>
              <w:rPr>
                <w:rFonts w:ascii="Arial" w:hAnsi="Arial"/>
                <w:sz w:val="20"/>
              </w:rPr>
            </w:pPr>
            <w:r w:rsidRPr="00E344F5">
              <w:rPr>
                <w:rFonts w:ascii="Arial" w:hAnsi="Arial"/>
                <w:sz w:val="20"/>
              </w:rPr>
              <w:t>Texto de</w:t>
            </w:r>
            <w:r w:rsidR="00504645" w:rsidRPr="00E344F5">
              <w:rPr>
                <w:rFonts w:ascii="Arial" w:hAnsi="Arial"/>
                <w:sz w:val="20"/>
              </w:rPr>
              <w:t xml:space="preserve"> 2 </w:t>
            </w:r>
            <w:r w:rsidRPr="00E344F5">
              <w:rPr>
                <w:rFonts w:ascii="Arial" w:hAnsi="Arial"/>
                <w:sz w:val="20"/>
              </w:rPr>
              <w:t>caracteres</w:t>
            </w:r>
          </w:p>
        </w:tc>
        <w:tc>
          <w:tcPr>
            <w:tcW w:w="4763" w:type="dxa"/>
            <w:shd w:val="clear" w:color="auto" w:fill="auto"/>
            <w:vAlign w:val="center"/>
          </w:tcPr>
          <w:p w14:paraId="78545473" w14:textId="77777777" w:rsidR="00E654B8" w:rsidRPr="00C16C52" w:rsidRDefault="00E654B8" w:rsidP="00F04D91">
            <w:pPr>
              <w:rPr>
                <w:rFonts w:ascii="Arial" w:hAnsi="Arial"/>
                <w:sz w:val="20"/>
                <w:highlight w:val="yellow"/>
              </w:rPr>
            </w:pPr>
            <w:r w:rsidRPr="00C16C52">
              <w:rPr>
                <w:rFonts w:ascii="Arial" w:hAnsi="Arial"/>
                <w:sz w:val="20"/>
                <w:highlight w:val="yellow"/>
              </w:rPr>
              <w:t>Código válido de la tabla SB82.</w:t>
            </w:r>
          </w:p>
          <w:p w14:paraId="1CC8CDE7" w14:textId="525D1311" w:rsidR="00A463B8" w:rsidRPr="00E344F5" w:rsidRDefault="00E654B8" w:rsidP="00F04D91">
            <w:pPr>
              <w:rPr>
                <w:rFonts w:ascii="Arial" w:hAnsi="Arial"/>
                <w:sz w:val="20"/>
              </w:rPr>
            </w:pPr>
            <w:r w:rsidRPr="00C16C52">
              <w:rPr>
                <w:rFonts w:ascii="Arial" w:hAnsi="Arial"/>
                <w:sz w:val="20"/>
                <w:highlight w:val="yellow"/>
              </w:rPr>
              <w:t xml:space="preserve">Para </w:t>
            </w:r>
            <w:r w:rsidR="004F6496" w:rsidRPr="00C16C52">
              <w:rPr>
                <w:rFonts w:ascii="Arial" w:hAnsi="Arial"/>
                <w:sz w:val="20"/>
                <w:highlight w:val="yellow"/>
              </w:rPr>
              <w:t>depósitos</w:t>
            </w:r>
            <w:r w:rsidRPr="00C16C52">
              <w:rPr>
                <w:rFonts w:ascii="Arial" w:hAnsi="Arial"/>
                <w:sz w:val="20"/>
                <w:highlight w:val="yellow"/>
              </w:rPr>
              <w:t xml:space="preserve"> clasificados </w:t>
            </w:r>
            <w:r w:rsidR="00F04D91" w:rsidRPr="00C16C52">
              <w:rPr>
                <w:rFonts w:ascii="Arial" w:hAnsi="Arial"/>
                <w:sz w:val="20"/>
                <w:highlight w:val="yellow"/>
              </w:rPr>
              <w:t>diferente a persona natural</w:t>
            </w:r>
            <w:r w:rsidRPr="00C16C52">
              <w:rPr>
                <w:rFonts w:ascii="Arial" w:hAnsi="Arial"/>
                <w:sz w:val="20"/>
                <w:highlight w:val="yellow"/>
              </w:rPr>
              <w:t xml:space="preserve"> (tabla SB</w:t>
            </w:r>
            <w:r w:rsidR="00F04D91" w:rsidRPr="00C16C52">
              <w:rPr>
                <w:rFonts w:ascii="Arial" w:hAnsi="Arial"/>
                <w:sz w:val="20"/>
                <w:highlight w:val="yellow"/>
              </w:rPr>
              <w:t>20 código desde 02 hasta 09</w:t>
            </w:r>
            <w:r w:rsidRPr="00C16C52">
              <w:rPr>
                <w:rFonts w:ascii="Arial" w:hAnsi="Arial"/>
                <w:sz w:val="20"/>
                <w:highlight w:val="yellow"/>
              </w:rPr>
              <w:t>), colocar NA</w:t>
            </w:r>
            <w:r w:rsidR="00412304" w:rsidRPr="00C16C52">
              <w:rPr>
                <w:rFonts w:ascii="Arial" w:hAnsi="Arial"/>
                <w:sz w:val="20"/>
                <w:highlight w:val="yellow"/>
              </w:rPr>
              <w:t>.</w:t>
            </w:r>
          </w:p>
        </w:tc>
      </w:tr>
      <w:tr w:rsidR="00766FA5" w:rsidRPr="00E344F5" w14:paraId="26241500" w14:textId="77777777" w:rsidTr="00272350">
        <w:trPr>
          <w:cantSplit/>
          <w:trHeight w:val="445"/>
        </w:trPr>
        <w:tc>
          <w:tcPr>
            <w:tcW w:w="2741" w:type="dxa"/>
            <w:shd w:val="clear" w:color="auto" w:fill="auto"/>
            <w:vAlign w:val="center"/>
          </w:tcPr>
          <w:p w14:paraId="5F8A9844" w14:textId="62F377FA" w:rsidR="00766FA5" w:rsidRPr="00E344F5" w:rsidRDefault="00766FA5" w:rsidP="00646570">
            <w:p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(22) Beneficiario declarado</w:t>
            </w:r>
          </w:p>
        </w:tc>
        <w:tc>
          <w:tcPr>
            <w:tcW w:w="3987" w:type="dxa"/>
            <w:shd w:val="clear" w:color="auto" w:fill="auto"/>
            <w:vAlign w:val="center"/>
          </w:tcPr>
          <w:p w14:paraId="63004A2F" w14:textId="565E3B33" w:rsidR="00766FA5" w:rsidRPr="00E344F5" w:rsidRDefault="00766FA5" w:rsidP="00403488">
            <w:p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Corresponde al código que identifica que el depósito mantiene beneficiarios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1D2AD2FB" w14:textId="4614793D" w:rsidR="00766FA5" w:rsidRPr="00E344F5" w:rsidRDefault="00766FA5" w:rsidP="00F04D91">
            <w:p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Texto de 2 caracteres</w:t>
            </w:r>
          </w:p>
        </w:tc>
        <w:tc>
          <w:tcPr>
            <w:tcW w:w="4763" w:type="dxa"/>
            <w:shd w:val="clear" w:color="auto" w:fill="auto"/>
            <w:vAlign w:val="center"/>
          </w:tcPr>
          <w:p w14:paraId="3000E19F" w14:textId="77777777" w:rsidR="00766FA5" w:rsidRPr="00E344F5" w:rsidRDefault="00766FA5" w:rsidP="00F04D91">
            <w:p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Beneficiarios declarados:</w:t>
            </w:r>
          </w:p>
          <w:p w14:paraId="43E3EDDB" w14:textId="77777777" w:rsidR="00766FA5" w:rsidRPr="00E344F5" w:rsidRDefault="00766FA5" w:rsidP="00766FA5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01 = Si</w:t>
            </w:r>
          </w:p>
          <w:p w14:paraId="0EEC9BDD" w14:textId="0CD37710" w:rsidR="00766FA5" w:rsidRPr="00E344F5" w:rsidRDefault="00766FA5" w:rsidP="00766FA5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02 = No</w:t>
            </w:r>
          </w:p>
        </w:tc>
      </w:tr>
      <w:tr w:rsidR="00766FA5" w:rsidRPr="00B51B5F" w14:paraId="52C70645" w14:textId="77777777" w:rsidTr="00272350">
        <w:trPr>
          <w:cantSplit/>
          <w:trHeight w:val="445"/>
        </w:trPr>
        <w:tc>
          <w:tcPr>
            <w:tcW w:w="2741" w:type="dxa"/>
            <w:shd w:val="clear" w:color="auto" w:fill="auto"/>
            <w:vAlign w:val="center"/>
          </w:tcPr>
          <w:p w14:paraId="39E2E959" w14:textId="7506DD8E" w:rsidR="00766FA5" w:rsidRPr="00E344F5" w:rsidRDefault="00766FA5" w:rsidP="00646570">
            <w:p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(23) Estatus de actividad</w:t>
            </w:r>
            <w:r w:rsidR="00BB08A8" w:rsidRPr="00E344F5">
              <w:rPr>
                <w:rFonts w:ascii="Arial" w:hAnsi="Arial"/>
                <w:color w:val="000000"/>
                <w:sz w:val="20"/>
              </w:rPr>
              <w:t xml:space="preserve"> por movimiento</w:t>
            </w:r>
          </w:p>
        </w:tc>
        <w:tc>
          <w:tcPr>
            <w:tcW w:w="3987" w:type="dxa"/>
            <w:shd w:val="clear" w:color="auto" w:fill="auto"/>
            <w:vAlign w:val="center"/>
          </w:tcPr>
          <w:p w14:paraId="511ED578" w14:textId="008646B4" w:rsidR="00766FA5" w:rsidRPr="00E344F5" w:rsidRDefault="00BB08A8" w:rsidP="00403488">
            <w:p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Corresponde al código que clasifique el movimiento operativo de los depósitos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6F04A24" w14:textId="74824037" w:rsidR="00766FA5" w:rsidRPr="00E344F5" w:rsidRDefault="00BB08A8" w:rsidP="00F04D91">
            <w:p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Texto de 2 caracteres</w:t>
            </w:r>
          </w:p>
        </w:tc>
        <w:tc>
          <w:tcPr>
            <w:tcW w:w="4763" w:type="dxa"/>
            <w:shd w:val="clear" w:color="auto" w:fill="auto"/>
            <w:vAlign w:val="center"/>
          </w:tcPr>
          <w:p w14:paraId="25FFDE49" w14:textId="77777777" w:rsidR="00766FA5" w:rsidRPr="00E344F5" w:rsidRDefault="00BB08A8" w:rsidP="00F04D91">
            <w:p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Movimiento operativo:</w:t>
            </w:r>
          </w:p>
          <w:p w14:paraId="00965267" w14:textId="77777777" w:rsidR="00BB08A8" w:rsidRPr="00E344F5" w:rsidRDefault="00BB08A8" w:rsidP="00BB08A8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01 = Activo</w:t>
            </w:r>
          </w:p>
          <w:p w14:paraId="5A86D7C4" w14:textId="77777777" w:rsidR="00BB08A8" w:rsidRPr="00E344F5" w:rsidRDefault="00BB08A8" w:rsidP="00BB08A8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>02 = Inactivo</w:t>
            </w:r>
          </w:p>
          <w:p w14:paraId="6B590FFB" w14:textId="79BC47D8" w:rsidR="00BB08A8" w:rsidRPr="00E344F5" w:rsidRDefault="00BB08A8" w:rsidP="00BB08A8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color w:val="000000"/>
                <w:sz w:val="20"/>
              </w:rPr>
            </w:pPr>
            <w:r w:rsidRPr="00E344F5">
              <w:rPr>
                <w:rFonts w:ascii="Arial" w:hAnsi="Arial"/>
                <w:color w:val="000000"/>
                <w:sz w:val="20"/>
              </w:rPr>
              <w:t xml:space="preserve">03 = Inactividad bajo el Acuerdo 5-2009 </w:t>
            </w:r>
          </w:p>
        </w:tc>
      </w:tr>
    </w:tbl>
    <w:p w14:paraId="10C55953" w14:textId="77777777" w:rsidR="00C976E7" w:rsidRDefault="00C976E7" w:rsidP="00C976E7">
      <w:pPr>
        <w:rPr>
          <w:rFonts w:ascii="Arial" w:hAnsi="Arial"/>
          <w:b/>
          <w:sz w:val="20"/>
        </w:rPr>
      </w:pPr>
    </w:p>
    <w:bookmarkEnd w:id="2"/>
    <w:bookmarkEnd w:id="3"/>
    <w:bookmarkEnd w:id="4"/>
    <w:bookmarkEnd w:id="5"/>
    <w:bookmarkEnd w:id="6"/>
    <w:p w14:paraId="52597840" w14:textId="77777777" w:rsidR="007D33BF" w:rsidRDefault="007D33BF"/>
    <w:sectPr w:rsidR="007D33BF" w:rsidSect="00C976E7"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E7634" w14:textId="77777777" w:rsidR="006D0887" w:rsidRDefault="006D0887" w:rsidP="00E344F5">
      <w:r>
        <w:separator/>
      </w:r>
    </w:p>
  </w:endnote>
  <w:endnote w:type="continuationSeparator" w:id="0">
    <w:p w14:paraId="085D625D" w14:textId="77777777" w:rsidR="006D0887" w:rsidRDefault="006D0887" w:rsidP="00E3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10490553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2E918819" w14:textId="5CF8177F" w:rsidR="00E344F5" w:rsidRPr="00E344F5" w:rsidRDefault="00E344F5">
        <w:pPr>
          <w:pStyle w:val="Footer"/>
          <w:jc w:val="right"/>
          <w:rPr>
            <w:sz w:val="18"/>
          </w:rPr>
        </w:pPr>
        <w:r w:rsidRPr="00E344F5">
          <w:rPr>
            <w:sz w:val="18"/>
          </w:rPr>
          <w:fldChar w:fldCharType="begin"/>
        </w:r>
        <w:r w:rsidRPr="00E344F5">
          <w:rPr>
            <w:sz w:val="18"/>
          </w:rPr>
          <w:instrText>PAGE   \* MERGEFORMAT</w:instrText>
        </w:r>
        <w:r w:rsidRPr="00E344F5">
          <w:rPr>
            <w:sz w:val="18"/>
          </w:rPr>
          <w:fldChar w:fldCharType="separate"/>
        </w:r>
        <w:r w:rsidR="00A02BEC">
          <w:rPr>
            <w:noProof/>
            <w:sz w:val="18"/>
          </w:rPr>
          <w:t>3</w:t>
        </w:r>
        <w:r w:rsidRPr="00E344F5">
          <w:rPr>
            <w:sz w:val="18"/>
          </w:rPr>
          <w:fldChar w:fldCharType="end"/>
        </w:r>
      </w:p>
    </w:sdtContent>
  </w:sdt>
  <w:p w14:paraId="7EAF90D3" w14:textId="77777777" w:rsidR="00E344F5" w:rsidRDefault="00E34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5015C" w14:textId="77777777" w:rsidR="006D0887" w:rsidRDefault="006D0887" w:rsidP="00E344F5">
      <w:r>
        <w:separator/>
      </w:r>
    </w:p>
  </w:footnote>
  <w:footnote w:type="continuationSeparator" w:id="0">
    <w:p w14:paraId="7BA21B3B" w14:textId="77777777" w:rsidR="006D0887" w:rsidRDefault="006D0887" w:rsidP="00E34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E5A0C"/>
    <w:multiLevelType w:val="hybridMultilevel"/>
    <w:tmpl w:val="F2567DDE"/>
    <w:lvl w:ilvl="0" w:tplc="F8F43692">
      <w:start w:val="17"/>
      <w:numFmt w:val="decimal"/>
      <w:lvlText w:val="(%1)"/>
      <w:lvlJc w:val="left"/>
      <w:pPr>
        <w:ind w:left="750" w:hanging="390"/>
      </w:pPr>
      <w:rPr>
        <w:rFonts w:hint="default"/>
        <w:sz w:val="22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D19D0"/>
    <w:multiLevelType w:val="hybridMultilevel"/>
    <w:tmpl w:val="F634BBEA"/>
    <w:lvl w:ilvl="0" w:tplc="1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7914CA"/>
    <w:multiLevelType w:val="hybridMultilevel"/>
    <w:tmpl w:val="8362BD3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F38CC"/>
    <w:multiLevelType w:val="multilevel"/>
    <w:tmpl w:val="6B040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0F2C2F"/>
    <w:multiLevelType w:val="multilevel"/>
    <w:tmpl w:val="44E4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Zero"/>
      <w:lvlText w:val="%2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EE6AFF"/>
    <w:multiLevelType w:val="hybridMultilevel"/>
    <w:tmpl w:val="0F626576"/>
    <w:lvl w:ilvl="0" w:tplc="180A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6E7"/>
    <w:rsid w:val="001070F7"/>
    <w:rsid w:val="00153753"/>
    <w:rsid w:val="00164803"/>
    <w:rsid w:val="002218DA"/>
    <w:rsid w:val="00272350"/>
    <w:rsid w:val="002723B0"/>
    <w:rsid w:val="00277139"/>
    <w:rsid w:val="002B6C15"/>
    <w:rsid w:val="002E4EBE"/>
    <w:rsid w:val="00397966"/>
    <w:rsid w:val="003B3BD3"/>
    <w:rsid w:val="00403488"/>
    <w:rsid w:val="00412304"/>
    <w:rsid w:val="00450CC5"/>
    <w:rsid w:val="004F6496"/>
    <w:rsid w:val="00504645"/>
    <w:rsid w:val="005821C4"/>
    <w:rsid w:val="00646570"/>
    <w:rsid w:val="00650750"/>
    <w:rsid w:val="00686B4A"/>
    <w:rsid w:val="006D0887"/>
    <w:rsid w:val="00715014"/>
    <w:rsid w:val="00764649"/>
    <w:rsid w:val="00766FA5"/>
    <w:rsid w:val="00784F99"/>
    <w:rsid w:val="007D33BF"/>
    <w:rsid w:val="00812F8E"/>
    <w:rsid w:val="00842ED9"/>
    <w:rsid w:val="00855E4C"/>
    <w:rsid w:val="008739F3"/>
    <w:rsid w:val="008E09B5"/>
    <w:rsid w:val="008E0A6F"/>
    <w:rsid w:val="00936A35"/>
    <w:rsid w:val="00975B51"/>
    <w:rsid w:val="009B7976"/>
    <w:rsid w:val="009E664C"/>
    <w:rsid w:val="009F2223"/>
    <w:rsid w:val="009F64C8"/>
    <w:rsid w:val="00A02BEC"/>
    <w:rsid w:val="00A461B6"/>
    <w:rsid w:val="00A463B8"/>
    <w:rsid w:val="00B23E10"/>
    <w:rsid w:val="00B27524"/>
    <w:rsid w:val="00B31109"/>
    <w:rsid w:val="00B44ABE"/>
    <w:rsid w:val="00BB08A8"/>
    <w:rsid w:val="00C16C52"/>
    <w:rsid w:val="00C976E7"/>
    <w:rsid w:val="00D02120"/>
    <w:rsid w:val="00D24103"/>
    <w:rsid w:val="00DF3343"/>
    <w:rsid w:val="00E344F5"/>
    <w:rsid w:val="00E63A18"/>
    <w:rsid w:val="00E654B8"/>
    <w:rsid w:val="00E71421"/>
    <w:rsid w:val="00EA5067"/>
    <w:rsid w:val="00F04D91"/>
    <w:rsid w:val="00F8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5C841"/>
  <w15:chartTrackingRefBased/>
  <w15:docId w15:val="{EE9F8B69-D3C6-4932-A40C-B1FDF138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6E7"/>
    <w:pPr>
      <w:spacing w:after="0" w:line="240" w:lineRule="auto"/>
    </w:pPr>
    <w:rPr>
      <w:rFonts w:ascii="Bookman Old Style" w:eastAsia="Times New Roman" w:hAnsi="Bookman Old Style" w:cs="Arial"/>
      <w:sz w:val="24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1">
    <w:name w:val="font1"/>
    <w:basedOn w:val="Normal"/>
    <w:rsid w:val="00C976E7"/>
    <w:pPr>
      <w:spacing w:before="100" w:beforeAutospacing="1" w:after="100" w:afterAutospacing="1"/>
    </w:pPr>
    <w:rPr>
      <w:rFonts w:ascii="Arial" w:eastAsia="Arial Unicode MS" w:hAnsi="Arial"/>
      <w:sz w:val="20"/>
    </w:rPr>
  </w:style>
  <w:style w:type="paragraph" w:customStyle="1" w:styleId="xdefault">
    <w:name w:val="x_default"/>
    <w:basedOn w:val="Normal"/>
    <w:rsid w:val="00C976E7"/>
    <w:pPr>
      <w:autoSpaceDE w:val="0"/>
      <w:autoSpaceDN w:val="0"/>
    </w:pPr>
    <w:rPr>
      <w:rFonts w:ascii="Arial" w:eastAsiaTheme="minorHAnsi" w:hAnsi="Arial"/>
      <w:color w:val="000000"/>
      <w:szCs w:val="24"/>
      <w:lang w:val="es-PA" w:eastAsia="es-PA"/>
    </w:rPr>
  </w:style>
  <w:style w:type="paragraph" w:styleId="ListParagraph">
    <w:name w:val="List Paragraph"/>
    <w:basedOn w:val="Normal"/>
    <w:uiPriority w:val="34"/>
    <w:qFormat/>
    <w:rsid w:val="009B7976"/>
    <w:pPr>
      <w:ind w:left="720"/>
      <w:contextualSpacing/>
    </w:pPr>
  </w:style>
  <w:style w:type="paragraph" w:customStyle="1" w:styleId="xmsonormal">
    <w:name w:val="x_msonormal"/>
    <w:basedOn w:val="Normal"/>
    <w:rsid w:val="00A463B8"/>
    <w:rPr>
      <w:rFonts w:ascii="Calibri" w:eastAsiaTheme="minorHAnsi" w:hAnsi="Calibri" w:cs="Calibri"/>
      <w:sz w:val="22"/>
      <w:szCs w:val="22"/>
      <w:lang w:val="es-PA" w:eastAsia="es-PA"/>
    </w:rPr>
  </w:style>
  <w:style w:type="character" w:styleId="CommentReference">
    <w:name w:val="annotation reference"/>
    <w:basedOn w:val="DefaultParagraphFont"/>
    <w:uiPriority w:val="99"/>
    <w:semiHidden/>
    <w:unhideWhenUsed/>
    <w:rsid w:val="00E63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A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A18"/>
    <w:rPr>
      <w:rFonts w:ascii="Bookman Old Style" w:eastAsia="Times New Roman" w:hAnsi="Bookman Old Style" w:cs="Arial"/>
      <w:sz w:val="20"/>
      <w:szCs w:val="20"/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A18"/>
    <w:rPr>
      <w:rFonts w:ascii="Bookman Old Style" w:eastAsia="Times New Roman" w:hAnsi="Bookman Old Style" w:cs="Arial"/>
      <w:b/>
      <w:bCs/>
      <w:sz w:val="20"/>
      <w:szCs w:val="20"/>
      <w:lang w:val="es-ES" w:eastAsia="es-ES"/>
    </w:rPr>
  </w:style>
  <w:style w:type="paragraph" w:styleId="Revision">
    <w:name w:val="Revision"/>
    <w:hidden/>
    <w:uiPriority w:val="99"/>
    <w:semiHidden/>
    <w:rsid w:val="00650750"/>
    <w:pPr>
      <w:spacing w:after="0" w:line="240" w:lineRule="auto"/>
    </w:pPr>
    <w:rPr>
      <w:rFonts w:ascii="Bookman Old Style" w:eastAsia="Times New Roman" w:hAnsi="Bookman Old Style" w:cs="Arial"/>
      <w:sz w:val="24"/>
      <w:szCs w:val="20"/>
      <w:lang w:val="es-ES" w:eastAsia="es-ES"/>
    </w:rPr>
  </w:style>
  <w:style w:type="paragraph" w:styleId="Header">
    <w:name w:val="header"/>
    <w:basedOn w:val="Normal"/>
    <w:link w:val="HeaderChar"/>
    <w:uiPriority w:val="99"/>
    <w:unhideWhenUsed/>
    <w:rsid w:val="00E344F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4F5"/>
    <w:rPr>
      <w:rFonts w:ascii="Bookman Old Style" w:eastAsia="Times New Roman" w:hAnsi="Bookman Old Style" w:cs="Arial"/>
      <w:sz w:val="24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E344F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4F5"/>
    <w:rPr>
      <w:rFonts w:ascii="Bookman Old Style" w:eastAsia="Times New Roman" w:hAnsi="Bookman Old Style" w:cs="Arial"/>
      <w:sz w:val="24"/>
      <w:szCs w:val="20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4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4F5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7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D38F2-7F60-4CE9-9EFF-6F7A9CDF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992</Words>
  <Characters>5462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CUAN, DELIA</dc:creator>
  <cp:keywords/>
  <dc:description/>
  <cp:lastModifiedBy>CUAN, DELIA</cp:lastModifiedBy>
  <cp:revision>4</cp:revision>
  <cp:lastPrinted>2021-10-28T20:48:00Z</cp:lastPrinted>
  <dcterms:created xsi:type="dcterms:W3CDTF">2021-12-10T19:55:00Z</dcterms:created>
  <dcterms:modified xsi:type="dcterms:W3CDTF">2021-12-10T19:55:00Z</dcterms:modified>
</cp:coreProperties>
</file>