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05" w:rsidRPr="00C51905" w:rsidRDefault="00C51905" w:rsidP="00C5190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C51905">
        <w:rPr>
          <w:rFonts w:ascii="Arial" w:hAnsi="Arial" w:cs="Arial"/>
          <w:b/>
          <w:sz w:val="24"/>
          <w:szCs w:val="24"/>
          <w:lang w:val="es-PA"/>
        </w:rPr>
        <w:t>SUPERINTE</w:t>
      </w:r>
      <w:r w:rsidR="00553B2F">
        <w:rPr>
          <w:rFonts w:ascii="Arial" w:hAnsi="Arial" w:cs="Arial"/>
          <w:b/>
          <w:sz w:val="24"/>
          <w:szCs w:val="24"/>
          <w:lang w:val="es-PA"/>
        </w:rPr>
        <w:t>N</w:t>
      </w:r>
      <w:r w:rsidRPr="00C51905">
        <w:rPr>
          <w:rFonts w:ascii="Arial" w:hAnsi="Arial" w:cs="Arial"/>
          <w:b/>
          <w:sz w:val="24"/>
          <w:szCs w:val="24"/>
          <w:lang w:val="es-PA"/>
        </w:rPr>
        <w:t>DENCIA DE BANCOS DE PANAMÁ</w:t>
      </w:r>
    </w:p>
    <w:p w:rsidR="00C51905" w:rsidRDefault="00C51905" w:rsidP="0091742D">
      <w:pPr>
        <w:spacing w:after="0" w:line="276" w:lineRule="auto"/>
        <w:rPr>
          <w:rFonts w:ascii="Arial" w:hAnsi="Arial" w:cs="Arial"/>
          <w:b/>
          <w:lang w:val="es-PA"/>
        </w:rPr>
      </w:pPr>
    </w:p>
    <w:p w:rsidR="00724545" w:rsidRPr="00E84C4A" w:rsidRDefault="0091742D" w:rsidP="00553B2F">
      <w:pPr>
        <w:spacing w:after="0" w:line="276" w:lineRule="auto"/>
        <w:ind w:left="720" w:hanging="720"/>
        <w:rPr>
          <w:rFonts w:ascii="Arial" w:hAnsi="Arial" w:cs="Arial"/>
          <w:b/>
          <w:lang w:val="es-PA"/>
        </w:rPr>
      </w:pPr>
      <w:r w:rsidRPr="0091742D">
        <w:rPr>
          <w:rFonts w:ascii="Arial" w:hAnsi="Arial" w:cs="Arial"/>
          <w:b/>
          <w:lang w:val="es-PA"/>
        </w:rPr>
        <w:t>Anexo</w:t>
      </w:r>
      <w:r w:rsidR="00C51905">
        <w:rPr>
          <w:rFonts w:ascii="Arial" w:hAnsi="Arial" w:cs="Arial"/>
          <w:b/>
          <w:lang w:val="es-PA"/>
        </w:rPr>
        <w:t xml:space="preserve"> a Circular </w:t>
      </w:r>
      <w:r w:rsidR="00C51905" w:rsidRPr="00E84C4A">
        <w:rPr>
          <w:rFonts w:ascii="Arial" w:hAnsi="Arial" w:cs="Arial"/>
          <w:b/>
          <w:lang w:val="es-PA"/>
        </w:rPr>
        <w:t>COVID-19 y NIIF 9.</w:t>
      </w:r>
    </w:p>
    <w:p w:rsidR="0091742D" w:rsidRDefault="0091742D" w:rsidP="0091742D">
      <w:pPr>
        <w:spacing w:after="0" w:line="276" w:lineRule="auto"/>
        <w:rPr>
          <w:rFonts w:ascii="Arial" w:hAnsi="Arial" w:cs="Arial"/>
          <w:lang w:val="es-PA"/>
        </w:rPr>
      </w:pPr>
    </w:p>
    <w:p w:rsidR="00C51905" w:rsidRDefault="0091742D" w:rsidP="00C51905">
      <w:pPr>
        <w:pStyle w:val="Prrafodelista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Arial" w:hAnsi="Arial" w:cs="Arial"/>
          <w:lang w:val="es-PA"/>
        </w:rPr>
      </w:pPr>
      <w:r w:rsidRPr="003112FE">
        <w:rPr>
          <w:rFonts w:ascii="Arial" w:hAnsi="Arial" w:cs="Arial"/>
          <w:b/>
          <w:lang w:val="es-PA"/>
        </w:rPr>
        <w:t>Antecedentes</w:t>
      </w:r>
      <w:r w:rsidRPr="00700ED1">
        <w:rPr>
          <w:rFonts w:ascii="Arial" w:hAnsi="Arial" w:cs="Arial"/>
          <w:lang w:val="es-PA"/>
        </w:rPr>
        <w:br/>
      </w:r>
      <w:r w:rsidRPr="00700ED1">
        <w:rPr>
          <w:rFonts w:ascii="Arial" w:hAnsi="Arial" w:cs="Arial"/>
          <w:lang w:val="es-PA"/>
        </w:rPr>
        <w:br/>
      </w:r>
      <w:r w:rsidR="00A84FA7">
        <w:rPr>
          <w:rFonts w:ascii="Arial" w:hAnsi="Arial" w:cs="Arial"/>
          <w:lang w:val="es-PA"/>
        </w:rPr>
        <w:t xml:space="preserve">Durante este período que inició el 9 de marzo de 2020 </w:t>
      </w:r>
      <w:r w:rsidR="00635C42">
        <w:rPr>
          <w:rFonts w:ascii="Arial" w:hAnsi="Arial" w:cs="Arial"/>
          <w:lang w:val="es-PA"/>
        </w:rPr>
        <w:t xml:space="preserve">cuando </w:t>
      </w:r>
      <w:r w:rsidR="00635C42" w:rsidRPr="00700ED1">
        <w:rPr>
          <w:rFonts w:ascii="Arial" w:hAnsi="Arial" w:cs="Arial"/>
          <w:lang w:val="es-PA"/>
        </w:rPr>
        <w:t>se anunció el primer caso de COVID-19 en Panamá</w:t>
      </w:r>
      <w:r w:rsidR="00635C42">
        <w:rPr>
          <w:rFonts w:ascii="Arial" w:hAnsi="Arial" w:cs="Arial"/>
          <w:lang w:val="es-PA"/>
        </w:rPr>
        <w:t>, se han venido produciendo</w:t>
      </w:r>
      <w:r w:rsidR="002B25DE">
        <w:rPr>
          <w:rFonts w:ascii="Arial" w:hAnsi="Arial" w:cs="Arial"/>
          <w:lang w:val="es-PA"/>
        </w:rPr>
        <w:t xml:space="preserve"> efectos similares a los sucedidos en otros países como consecuencia de la </w:t>
      </w:r>
      <w:r w:rsidR="00392E46">
        <w:rPr>
          <w:rFonts w:ascii="Arial" w:hAnsi="Arial" w:cs="Arial"/>
          <w:lang w:val="es-PA"/>
        </w:rPr>
        <w:t>disrupción en las</w:t>
      </w:r>
      <w:r w:rsidR="002B25DE">
        <w:rPr>
          <w:rFonts w:ascii="Arial" w:hAnsi="Arial" w:cs="Arial"/>
          <w:lang w:val="es-PA"/>
        </w:rPr>
        <w:t xml:space="preserve"> actividades económicas, incluida la caída en el producto bruto interno y la suspensión o pérdida de puestos laborales.  Esto ha resultado en la dificultad para muchas personas y empresas de poder cumplir con sus obligaciones financieras y de otro tipo. </w:t>
      </w:r>
    </w:p>
    <w:p w:rsidR="00C51905" w:rsidRDefault="0053050F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2B25DE">
        <w:rPr>
          <w:rFonts w:ascii="Arial" w:hAnsi="Arial" w:cs="Arial"/>
          <w:lang w:val="es-PA"/>
        </w:rPr>
        <w:t xml:space="preserve">El Gobierno Nacional </w:t>
      </w:r>
      <w:r>
        <w:rPr>
          <w:rFonts w:ascii="Arial" w:hAnsi="Arial" w:cs="Arial"/>
          <w:lang w:val="es-PA"/>
        </w:rPr>
        <w:t xml:space="preserve">en conjunto con la industria bancaria </w:t>
      </w:r>
      <w:r w:rsidR="00B459CA">
        <w:rPr>
          <w:rFonts w:ascii="Arial" w:hAnsi="Arial" w:cs="Arial"/>
          <w:lang w:val="es-PA"/>
        </w:rPr>
        <w:t>ha tomado</w:t>
      </w:r>
      <w:r w:rsidR="005F1DD9">
        <w:rPr>
          <w:rFonts w:ascii="Arial" w:hAnsi="Arial" w:cs="Arial"/>
          <w:lang w:val="es-PA"/>
        </w:rPr>
        <w:t xml:space="preserve"> medidas de alivio que permite</w:t>
      </w:r>
      <w:r>
        <w:rPr>
          <w:rFonts w:ascii="Arial" w:hAnsi="Arial" w:cs="Arial"/>
          <w:lang w:val="es-PA"/>
        </w:rPr>
        <w:t>n a los deudores prorrogar sus pagos y a los bancos proveerles mayor flexibilidad para que puedan continuar brinda</w:t>
      </w:r>
      <w:r w:rsidR="005F1DD9">
        <w:rPr>
          <w:rFonts w:ascii="Arial" w:hAnsi="Arial" w:cs="Arial"/>
          <w:lang w:val="es-PA"/>
        </w:rPr>
        <w:t>n</w:t>
      </w:r>
      <w:r>
        <w:rPr>
          <w:rFonts w:ascii="Arial" w:hAnsi="Arial" w:cs="Arial"/>
          <w:lang w:val="es-PA"/>
        </w:rPr>
        <w:t>do apoyo a sus clientes en dificultades.</w:t>
      </w:r>
    </w:p>
    <w:p w:rsidR="00C51905" w:rsidRDefault="0053050F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 xml:space="preserve">En este sentido, la Superintendencia de Bancos de Panamá (SBP) emitió el 16 de marzo de 2020 el Acuerdo No. 2-2020 que implementa medidas </w:t>
      </w:r>
      <w:r w:rsidRPr="0053050F">
        <w:rPr>
          <w:rFonts w:ascii="Arial" w:hAnsi="Arial" w:cs="Arial"/>
          <w:lang w:val="es-PA"/>
        </w:rPr>
        <w:t>especiales y temporales para el tratamiento de la cartera de crédito de</w:t>
      </w:r>
      <w:r>
        <w:rPr>
          <w:rFonts w:ascii="Arial" w:hAnsi="Arial" w:cs="Arial"/>
          <w:lang w:val="es-PA"/>
        </w:rPr>
        <w:t xml:space="preserve"> </w:t>
      </w:r>
      <w:r w:rsidRPr="0053050F">
        <w:rPr>
          <w:rFonts w:ascii="Arial" w:hAnsi="Arial" w:cs="Arial"/>
          <w:lang w:val="es-PA"/>
        </w:rPr>
        <w:t>l</w:t>
      </w:r>
      <w:r>
        <w:rPr>
          <w:rFonts w:ascii="Arial" w:hAnsi="Arial" w:cs="Arial"/>
          <w:lang w:val="es-PA"/>
        </w:rPr>
        <w:t>os</w:t>
      </w:r>
      <w:r w:rsidRPr="0053050F">
        <w:rPr>
          <w:rFonts w:ascii="Arial" w:hAnsi="Arial" w:cs="Arial"/>
          <w:lang w:val="es-PA"/>
        </w:rPr>
        <w:t xml:space="preserve"> banco</w:t>
      </w:r>
      <w:r>
        <w:rPr>
          <w:rFonts w:ascii="Arial" w:hAnsi="Arial" w:cs="Arial"/>
          <w:lang w:val="es-PA"/>
        </w:rPr>
        <w:t>s.</w:t>
      </w:r>
    </w:p>
    <w:p w:rsidR="00C51905" w:rsidRDefault="00644A2E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>El 18 de junio de 2020, la Asamblea Nacio</w:t>
      </w:r>
      <w:r w:rsidR="00920ACA">
        <w:rPr>
          <w:rFonts w:ascii="Arial" w:hAnsi="Arial" w:cs="Arial"/>
          <w:lang w:val="es-PA"/>
        </w:rPr>
        <w:t>nal aprobó en tercer debate la L</w:t>
      </w:r>
      <w:bookmarkStart w:id="0" w:name="_GoBack"/>
      <w:bookmarkEnd w:id="0"/>
      <w:r>
        <w:rPr>
          <w:rFonts w:ascii="Arial" w:hAnsi="Arial" w:cs="Arial"/>
          <w:lang w:val="es-PA"/>
        </w:rPr>
        <w:t>ey 156 que fue promulgada por el Órgano Ejecutivo el 30 de junio de 2020.  Mediante esta ley se estableció una moratoria sobre los préstamos otorgados por los bancos, cooperativas y financieras hasta el 31 de diciembre de 2020, para las personas naturales y jurídicas afectadas económicamente debido al estado de emergencia nacional con motivo del COVID-19.</w:t>
      </w:r>
    </w:p>
    <w:p w:rsidR="00C51905" w:rsidRDefault="00837122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C21B66">
        <w:rPr>
          <w:rFonts w:ascii="Arial" w:hAnsi="Arial" w:cs="Arial"/>
          <w:lang w:val="es-PA"/>
        </w:rPr>
        <w:t>El</w:t>
      </w:r>
      <w:r>
        <w:rPr>
          <w:rFonts w:ascii="Arial" w:hAnsi="Arial" w:cs="Arial"/>
          <w:lang w:val="es-PA"/>
        </w:rPr>
        <w:t xml:space="preserve"> Acuerdo No. 2-2020 </w:t>
      </w:r>
      <w:r w:rsidR="00C21B66">
        <w:rPr>
          <w:rFonts w:ascii="Arial" w:hAnsi="Arial" w:cs="Arial"/>
          <w:lang w:val="es-PA"/>
        </w:rPr>
        <w:t>fue actualizado el 11 de septiembre de 2020 a través del Acuerdo No. 9-2020.</w:t>
      </w:r>
      <w:r w:rsidR="0053050F">
        <w:rPr>
          <w:rFonts w:ascii="Arial" w:hAnsi="Arial" w:cs="Arial"/>
          <w:lang w:val="es-PA"/>
        </w:rPr>
        <w:br/>
      </w:r>
      <w:r w:rsidR="0053050F">
        <w:rPr>
          <w:rFonts w:ascii="Arial" w:hAnsi="Arial" w:cs="Arial"/>
          <w:lang w:val="es-PA"/>
        </w:rPr>
        <w:br/>
        <w:t xml:space="preserve">Esta </w:t>
      </w:r>
      <w:r w:rsidR="00392E46">
        <w:rPr>
          <w:rFonts w:ascii="Arial" w:hAnsi="Arial" w:cs="Arial"/>
          <w:lang w:val="es-PA"/>
        </w:rPr>
        <w:t>disrupción en</w:t>
      </w:r>
      <w:r w:rsidR="0053050F">
        <w:rPr>
          <w:rFonts w:ascii="Arial" w:hAnsi="Arial" w:cs="Arial"/>
          <w:lang w:val="es-PA"/>
        </w:rPr>
        <w:t xml:space="preserve"> las actividades económicas podrá ser temporal para algunos y permanente para otros, lo cual traerá efectos sobre los estados financieros de los bancos.  Estos efectos deben ser adecuadamente reflejados bajo el marco contable vigente o sea las Normas Internacionales de </w:t>
      </w:r>
      <w:r w:rsidR="00392E46">
        <w:rPr>
          <w:rFonts w:ascii="Arial" w:hAnsi="Arial" w:cs="Arial"/>
          <w:lang w:val="es-PA"/>
        </w:rPr>
        <w:t>Información Financiera (NIIF).</w:t>
      </w:r>
    </w:p>
    <w:p w:rsidR="00C51905" w:rsidRDefault="00392E46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>Sin embargo,</w:t>
      </w:r>
      <w:r w:rsidR="00C51905">
        <w:rPr>
          <w:rFonts w:ascii="Arial" w:hAnsi="Arial" w:cs="Arial"/>
          <w:lang w:val="es-PA"/>
        </w:rPr>
        <w:t xml:space="preserve"> las NIIF y particularmente la </w:t>
      </w:r>
      <w:r>
        <w:rPr>
          <w:rFonts w:ascii="Arial" w:hAnsi="Arial" w:cs="Arial"/>
          <w:lang w:val="es-PA"/>
        </w:rPr>
        <w:t>NIIF 9 “Instrumentos Financieros” son normas basadas en principios y abiertas a interpretación.  Atendiendo a ello, y siguiendo la línea de los principales reguladores internacionales, la SBP emitió el 13 de abril de 2020 la Circular No</w:t>
      </w:r>
      <w:r w:rsidRPr="00E84C4A">
        <w:rPr>
          <w:rFonts w:ascii="Arial" w:hAnsi="Arial" w:cs="Arial"/>
          <w:lang w:val="es-PA"/>
        </w:rPr>
        <w:t>.</w:t>
      </w:r>
      <w:r w:rsidR="00044668" w:rsidRPr="00E84C4A">
        <w:rPr>
          <w:rFonts w:ascii="Arial" w:hAnsi="Arial" w:cs="Arial"/>
          <w:lang w:val="es-PA"/>
        </w:rPr>
        <w:t>SBP-DR-</w:t>
      </w:r>
      <w:r w:rsidRPr="00E84C4A">
        <w:rPr>
          <w:rFonts w:ascii="Arial" w:hAnsi="Arial" w:cs="Arial"/>
          <w:lang w:val="es-PA"/>
        </w:rPr>
        <w:t>120</w:t>
      </w:r>
      <w:r w:rsidR="00044668" w:rsidRPr="00E84C4A">
        <w:rPr>
          <w:rFonts w:ascii="Arial" w:hAnsi="Arial" w:cs="Arial"/>
          <w:lang w:val="es-PA"/>
        </w:rPr>
        <w:t>-2020</w:t>
      </w:r>
      <w:r w:rsidRPr="00E84C4A">
        <w:rPr>
          <w:rFonts w:ascii="Arial" w:hAnsi="Arial" w:cs="Arial"/>
          <w:lang w:val="es-PA"/>
        </w:rPr>
        <w:t xml:space="preserve"> que brinda unos comentarios preliminares sobre la constitución d</w:t>
      </w:r>
      <w:r w:rsidR="009E2DBA" w:rsidRPr="00E84C4A">
        <w:rPr>
          <w:rFonts w:ascii="Arial" w:hAnsi="Arial" w:cs="Arial"/>
          <w:lang w:val="es-PA"/>
        </w:rPr>
        <w:t>e</w:t>
      </w:r>
      <w:r w:rsidRPr="00E84C4A">
        <w:rPr>
          <w:rFonts w:ascii="Arial" w:hAnsi="Arial" w:cs="Arial"/>
          <w:lang w:val="es-PA"/>
        </w:rPr>
        <w:t xml:space="preserve"> pro</w:t>
      </w:r>
      <w:r>
        <w:rPr>
          <w:rFonts w:ascii="Arial" w:hAnsi="Arial" w:cs="Arial"/>
          <w:lang w:val="es-PA"/>
        </w:rPr>
        <w:t>visiones para pérdidas de crédito esperadas en la cartera de préstamos.</w:t>
      </w:r>
    </w:p>
    <w:p w:rsidR="00C51905" w:rsidRDefault="005F1DD9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9E2DBA" w:rsidRPr="00E84C4A">
        <w:rPr>
          <w:rFonts w:ascii="Arial" w:hAnsi="Arial" w:cs="Arial"/>
          <w:lang w:val="es-PA"/>
        </w:rPr>
        <w:t>La presente</w:t>
      </w:r>
      <w:r w:rsidRPr="00E84C4A">
        <w:rPr>
          <w:rFonts w:ascii="Arial" w:hAnsi="Arial" w:cs="Arial"/>
          <w:lang w:val="es-PA"/>
        </w:rPr>
        <w:t xml:space="preserve"> guía recoge los principios de la Circular No.</w:t>
      </w:r>
      <w:r w:rsidR="00044668" w:rsidRPr="00E84C4A">
        <w:rPr>
          <w:rFonts w:ascii="Arial" w:hAnsi="Arial" w:cs="Arial"/>
          <w:lang w:val="es-PA"/>
        </w:rPr>
        <w:t>SBP-DR-</w:t>
      </w:r>
      <w:r w:rsidRPr="00E84C4A">
        <w:rPr>
          <w:rFonts w:ascii="Arial" w:hAnsi="Arial" w:cs="Arial"/>
          <w:lang w:val="es-PA"/>
        </w:rPr>
        <w:t>120</w:t>
      </w:r>
      <w:r w:rsidR="00044668" w:rsidRPr="00E84C4A">
        <w:rPr>
          <w:rFonts w:ascii="Arial" w:hAnsi="Arial" w:cs="Arial"/>
          <w:lang w:val="es-PA"/>
        </w:rPr>
        <w:t>-2020</w:t>
      </w:r>
      <w:r w:rsidRPr="00E84C4A">
        <w:rPr>
          <w:rFonts w:ascii="Arial" w:hAnsi="Arial" w:cs="Arial"/>
          <w:lang w:val="es-PA"/>
        </w:rPr>
        <w:t xml:space="preserve"> y propone soluciones prácticas para manejar la incertidumbre económica derivada </w:t>
      </w:r>
      <w:r w:rsidR="00044668" w:rsidRPr="00E84C4A">
        <w:rPr>
          <w:rFonts w:ascii="Arial" w:hAnsi="Arial" w:cs="Arial"/>
          <w:lang w:val="es-PA"/>
        </w:rPr>
        <w:t xml:space="preserve">de la </w:t>
      </w:r>
      <w:r w:rsidRPr="00E84C4A">
        <w:rPr>
          <w:rFonts w:ascii="Arial" w:hAnsi="Arial" w:cs="Arial"/>
          <w:lang w:val="es-PA"/>
        </w:rPr>
        <w:t xml:space="preserve">COVID-19, haciendo uso de las flexibilidades incorporadas en la NIIF 9.  El objetivo de la guía </w:t>
      </w:r>
      <w:r>
        <w:rPr>
          <w:rFonts w:ascii="Arial" w:hAnsi="Arial" w:cs="Arial"/>
          <w:lang w:val="es-PA"/>
        </w:rPr>
        <w:t xml:space="preserve">es lograr un cierto grado de </w:t>
      </w:r>
      <w:r>
        <w:rPr>
          <w:rFonts w:ascii="Arial" w:hAnsi="Arial" w:cs="Arial"/>
          <w:lang w:val="es-PA"/>
        </w:rPr>
        <w:lastRenderedPageBreak/>
        <w:t>consistencia a través de los bancos en Panamá y que las provisione</w:t>
      </w:r>
      <w:r w:rsidR="00C04F60">
        <w:rPr>
          <w:rFonts w:ascii="Arial" w:hAnsi="Arial" w:cs="Arial"/>
          <w:lang w:val="es-PA"/>
        </w:rPr>
        <w:t>s sean adecuadamente calculadas</w:t>
      </w:r>
      <w:r w:rsidR="009E2DBA">
        <w:rPr>
          <w:rFonts w:ascii="Arial" w:hAnsi="Arial" w:cs="Arial"/>
          <w:lang w:val="es-PA"/>
        </w:rPr>
        <w:t>.</w:t>
      </w:r>
    </w:p>
    <w:p w:rsidR="005F1DD9" w:rsidRDefault="005F1DD9" w:rsidP="00C51905">
      <w:pPr>
        <w:pStyle w:val="Prrafodelista"/>
        <w:tabs>
          <w:tab w:val="left" w:pos="36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</w:p>
    <w:p w:rsidR="00543937" w:rsidRPr="00543937" w:rsidRDefault="009E2DBA" w:rsidP="00044668">
      <w:pPr>
        <w:pStyle w:val="Prrafodelista"/>
        <w:numPr>
          <w:ilvl w:val="0"/>
          <w:numId w:val="1"/>
        </w:numPr>
        <w:tabs>
          <w:tab w:val="left" w:pos="360"/>
          <w:tab w:val="left" w:pos="450"/>
        </w:tabs>
        <w:spacing w:after="0" w:line="276" w:lineRule="auto"/>
        <w:ind w:left="0" w:firstLine="0"/>
        <w:jc w:val="both"/>
        <w:rPr>
          <w:rFonts w:ascii="Arial" w:hAnsi="Arial" w:cs="Arial"/>
          <w:lang w:val="es-PA"/>
        </w:rPr>
      </w:pPr>
      <w:r w:rsidRPr="003112FE">
        <w:rPr>
          <w:rFonts w:ascii="Arial" w:hAnsi="Arial" w:cs="Arial"/>
          <w:b/>
          <w:lang w:val="es-PA"/>
        </w:rPr>
        <w:t>Segmentación de la cartera de préstamos de arriba abajo</w:t>
      </w:r>
    </w:p>
    <w:p w:rsidR="00641B08" w:rsidRPr="00E84C4A" w:rsidRDefault="009E2DBA" w:rsidP="00543937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 xml:space="preserve">El primer paso en el proceso es la identificación de los riesgos en su cartera de crédito por parte de los bancos.  </w:t>
      </w:r>
      <w:r w:rsidR="009F60F8">
        <w:rPr>
          <w:rFonts w:ascii="Arial" w:hAnsi="Arial" w:cs="Arial"/>
          <w:lang w:val="es-PA"/>
        </w:rPr>
        <w:t xml:space="preserve">Para ello, la evaluación debe iniciarse con una segmentación de la cartera de arriba hacia abajo, es decir de </w:t>
      </w:r>
      <w:r w:rsidR="009F60F8" w:rsidRPr="00E84C4A">
        <w:rPr>
          <w:rFonts w:ascii="Arial" w:hAnsi="Arial" w:cs="Arial"/>
          <w:lang w:val="es-PA"/>
        </w:rPr>
        <w:t>lo general a lo específico.  En este sentido, un ejemplo de segmentación podría ser:</w:t>
      </w:r>
    </w:p>
    <w:p w:rsidR="00641B08" w:rsidRPr="00E84C4A" w:rsidRDefault="000C4B5A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rPr>
          <w:rFonts w:ascii="Arial" w:hAnsi="Arial" w:cs="Arial"/>
          <w:lang w:val="es-PA"/>
        </w:rPr>
      </w:pPr>
      <w:r w:rsidRPr="00E84C4A">
        <w:rPr>
          <w:rFonts w:ascii="Arial" w:hAnsi="Arial" w:cs="Arial"/>
          <w:lang w:val="es-PA"/>
        </w:rPr>
        <w:br/>
        <w:t>Primer nivel: País de colocación</w:t>
      </w:r>
      <w:r w:rsidRPr="00E84C4A">
        <w:rPr>
          <w:rFonts w:ascii="Arial" w:hAnsi="Arial" w:cs="Arial"/>
          <w:lang w:val="es-PA"/>
        </w:rPr>
        <w:br/>
        <w:t xml:space="preserve">Segundo nivel: Préstamos corporativos o préstamos </w:t>
      </w:r>
      <w:r w:rsidR="00C04F60" w:rsidRPr="00E84C4A">
        <w:rPr>
          <w:rFonts w:ascii="Arial" w:hAnsi="Arial" w:cs="Arial"/>
          <w:lang w:val="es-PA"/>
        </w:rPr>
        <w:t>a personas</w:t>
      </w:r>
      <w:r w:rsidRPr="00E84C4A">
        <w:rPr>
          <w:rFonts w:ascii="Arial" w:hAnsi="Arial" w:cs="Arial"/>
          <w:lang w:val="es-PA"/>
        </w:rPr>
        <w:br/>
        <w:t>Tercer nivel: Actividades económicas o profesionales</w:t>
      </w:r>
      <w:r w:rsidRPr="00E84C4A">
        <w:rPr>
          <w:rFonts w:ascii="Arial" w:hAnsi="Arial" w:cs="Arial"/>
          <w:lang w:val="es-PA"/>
        </w:rPr>
        <w:br/>
        <w:t>Cuarto nivel: Tipo de deudores</w:t>
      </w:r>
      <w:r w:rsidRPr="00E84C4A">
        <w:rPr>
          <w:rFonts w:ascii="Arial" w:hAnsi="Arial" w:cs="Arial"/>
          <w:lang w:val="es-PA"/>
        </w:rPr>
        <w:br/>
        <w:t>Quinto nivel: Tipo de facilidades</w:t>
      </w:r>
      <w:r w:rsidRPr="00E84C4A">
        <w:rPr>
          <w:rFonts w:ascii="Arial" w:hAnsi="Arial" w:cs="Arial"/>
          <w:lang w:val="es-PA"/>
        </w:rPr>
        <w:br/>
        <w:t xml:space="preserve">Sexto nivel: </w:t>
      </w:r>
      <w:r w:rsidR="00B459CA" w:rsidRPr="00E84C4A">
        <w:rPr>
          <w:rFonts w:ascii="Arial" w:hAnsi="Arial" w:cs="Arial"/>
          <w:lang w:val="es-PA"/>
        </w:rPr>
        <w:t>Tipología de alivios financieros</w:t>
      </w:r>
      <w:r w:rsidRPr="00E84C4A">
        <w:rPr>
          <w:rFonts w:ascii="Arial" w:hAnsi="Arial" w:cs="Arial"/>
          <w:lang w:val="es-PA"/>
        </w:rPr>
        <w:br/>
      </w:r>
    </w:p>
    <w:p w:rsidR="00641B08" w:rsidRDefault="00E96214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 w:rsidRPr="00E84C4A">
        <w:rPr>
          <w:rFonts w:ascii="Arial" w:hAnsi="Arial" w:cs="Arial"/>
          <w:lang w:val="es-PA"/>
        </w:rPr>
        <w:t>El primer nivel toma en cuenta que los efectos</w:t>
      </w:r>
      <w:r w:rsidR="00192B4E" w:rsidRPr="00E84C4A">
        <w:rPr>
          <w:rFonts w:ascii="Arial" w:hAnsi="Arial" w:cs="Arial"/>
          <w:lang w:val="es-PA"/>
        </w:rPr>
        <w:t xml:space="preserve"> económicos </w:t>
      </w:r>
      <w:r w:rsidR="00641B08" w:rsidRPr="00E84C4A">
        <w:rPr>
          <w:rFonts w:ascii="Arial" w:hAnsi="Arial" w:cs="Arial"/>
          <w:lang w:val="es-PA"/>
        </w:rPr>
        <w:t xml:space="preserve">de la </w:t>
      </w:r>
      <w:r w:rsidRPr="00E84C4A">
        <w:rPr>
          <w:rFonts w:ascii="Arial" w:hAnsi="Arial" w:cs="Arial"/>
          <w:lang w:val="es-PA"/>
        </w:rPr>
        <w:t xml:space="preserve">COVID-19 no son iguales en todos los países y por lo tanto los deudores podrán </w:t>
      </w:r>
      <w:r w:rsidR="00192B4E" w:rsidRPr="00E84C4A">
        <w:rPr>
          <w:rFonts w:ascii="Arial" w:hAnsi="Arial" w:cs="Arial"/>
          <w:lang w:val="es-PA"/>
        </w:rPr>
        <w:t xml:space="preserve">tener mayor o menor </w:t>
      </w:r>
      <w:r w:rsidR="00192B4E">
        <w:rPr>
          <w:rFonts w:ascii="Arial" w:hAnsi="Arial" w:cs="Arial"/>
          <w:lang w:val="es-PA"/>
        </w:rPr>
        <w:t>afectación frente a los bancos.</w:t>
      </w:r>
    </w:p>
    <w:p w:rsidR="000C4B5A" w:rsidRDefault="00192B4E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 xml:space="preserve">El segundo nivel es la clásica diferenciación </w:t>
      </w:r>
      <w:r w:rsidR="00C04F60">
        <w:rPr>
          <w:rFonts w:ascii="Arial" w:hAnsi="Arial" w:cs="Arial"/>
          <w:lang w:val="es-PA"/>
        </w:rPr>
        <w:t>entre préstamos corporativos y a</w:t>
      </w:r>
      <w:r w:rsidR="00B459CA">
        <w:rPr>
          <w:rFonts w:ascii="Arial" w:hAnsi="Arial" w:cs="Arial"/>
          <w:lang w:val="es-PA"/>
        </w:rPr>
        <w:t xml:space="preserve"> </w:t>
      </w:r>
      <w:r w:rsidR="00C04F60">
        <w:rPr>
          <w:rFonts w:ascii="Arial" w:hAnsi="Arial" w:cs="Arial"/>
          <w:lang w:val="es-PA"/>
        </w:rPr>
        <w:t>personas</w:t>
      </w:r>
      <w:r>
        <w:rPr>
          <w:rFonts w:ascii="Arial" w:hAnsi="Arial" w:cs="Arial"/>
          <w:lang w:val="es-PA"/>
        </w:rPr>
        <w:t xml:space="preserve">.  </w:t>
      </w:r>
      <w:r w:rsidR="00B459CA">
        <w:rPr>
          <w:rFonts w:ascii="Arial" w:hAnsi="Arial" w:cs="Arial"/>
          <w:lang w:val="es-PA"/>
        </w:rPr>
        <w:t>En</w:t>
      </w:r>
      <w:r>
        <w:rPr>
          <w:rFonts w:ascii="Arial" w:hAnsi="Arial" w:cs="Arial"/>
          <w:lang w:val="es-PA"/>
        </w:rPr>
        <w:t xml:space="preserve"> el tercer nivel estas categorías se dividen por actividad económica o profesional, y aquí juega la expectativa de reapertura según el bloque al que pertenece.  Ejemplos de actividades de empresas serían: construcción, turismo, agropecuario, comercio, industria, etc.  En el aspecto de los préstamos </w:t>
      </w:r>
      <w:r w:rsidR="00C04F60">
        <w:rPr>
          <w:rFonts w:ascii="Arial" w:hAnsi="Arial" w:cs="Arial"/>
          <w:lang w:val="es-PA"/>
        </w:rPr>
        <w:t>a personas</w:t>
      </w:r>
      <w:r>
        <w:rPr>
          <w:rFonts w:ascii="Arial" w:hAnsi="Arial" w:cs="Arial"/>
          <w:lang w:val="es-PA"/>
        </w:rPr>
        <w:t>: asalariados gobierno, asalariados sector privado, jubilados, sector agropecuario, profesionales independientes, y otros.</w:t>
      </w:r>
    </w:p>
    <w:p w:rsidR="00192B4E" w:rsidRPr="00192B4E" w:rsidRDefault="00192B4E" w:rsidP="00192B4E">
      <w:pPr>
        <w:tabs>
          <w:tab w:val="left" w:pos="360"/>
          <w:tab w:val="left" w:pos="450"/>
        </w:tabs>
        <w:spacing w:after="0" w:line="276" w:lineRule="auto"/>
        <w:rPr>
          <w:rFonts w:ascii="Arial" w:hAnsi="Arial" w:cs="Arial"/>
          <w:lang w:val="es-PA"/>
        </w:rPr>
      </w:pPr>
    </w:p>
    <w:p w:rsidR="00192B4E" w:rsidRPr="00E84C4A" w:rsidRDefault="00192B4E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 xml:space="preserve">En el cuarto nivel clasificaríamos los deudores según el </w:t>
      </w:r>
      <w:r w:rsidR="00E84C4A">
        <w:rPr>
          <w:rFonts w:ascii="Arial" w:hAnsi="Arial" w:cs="Arial"/>
          <w:lang w:val="es-PA"/>
        </w:rPr>
        <w:t xml:space="preserve">grado de afectación por motivos </w:t>
      </w:r>
      <w:r w:rsidR="00E84C4A" w:rsidRPr="00E84C4A">
        <w:rPr>
          <w:rFonts w:ascii="Arial" w:hAnsi="Arial" w:cs="Arial"/>
          <w:lang w:val="es-PA"/>
        </w:rPr>
        <w:t xml:space="preserve">de </w:t>
      </w:r>
      <w:r w:rsidR="00641B08" w:rsidRPr="00E84C4A">
        <w:rPr>
          <w:rFonts w:ascii="Arial" w:hAnsi="Arial" w:cs="Arial"/>
          <w:lang w:val="es-PA"/>
        </w:rPr>
        <w:t xml:space="preserve">la </w:t>
      </w:r>
      <w:r w:rsidRPr="00E84C4A">
        <w:rPr>
          <w:rFonts w:ascii="Arial" w:hAnsi="Arial" w:cs="Arial"/>
          <w:lang w:val="es-PA"/>
        </w:rPr>
        <w:t>COVID-19, por ejemplo:</w:t>
      </w:r>
    </w:p>
    <w:p w:rsidR="00192B4E" w:rsidRPr="00E84C4A" w:rsidRDefault="00192B4E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</w:p>
    <w:p w:rsidR="00641B08" w:rsidRDefault="00C55307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En banca empresarial, aquellos deudores afectados temporalmente por la crisis con problemas de liquidez y que muy probablemente se recuperarán y podrán hacer frente a sus obligaciones.  Por otra parte, los clientes que se espera sean afectados significativamente por la crisis a largo plazo y que presentarán problemas de insolvencia.  Para ello el análisis se efectuará en función de la actividad económica y las expectativas de reapertura por bloques.</w:t>
      </w:r>
    </w:p>
    <w:p w:rsidR="00192B4E" w:rsidRDefault="00C55307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 xml:space="preserve">En banca de personas, es importante ver </w:t>
      </w:r>
      <w:r w:rsidR="0058783F">
        <w:rPr>
          <w:rFonts w:ascii="Arial" w:hAnsi="Arial" w:cs="Arial"/>
          <w:lang w:val="es-PA"/>
        </w:rPr>
        <w:t>cuál</w:t>
      </w:r>
      <w:r>
        <w:rPr>
          <w:rFonts w:ascii="Arial" w:hAnsi="Arial" w:cs="Arial"/>
          <w:lang w:val="es-PA"/>
        </w:rPr>
        <w:t xml:space="preserve"> es su situación actual: empleado a sueldo completo, con </w:t>
      </w:r>
      <w:r w:rsidR="0058783F">
        <w:rPr>
          <w:rFonts w:ascii="Arial" w:hAnsi="Arial" w:cs="Arial"/>
          <w:lang w:val="es-PA"/>
        </w:rPr>
        <w:t>reducción de jornada laboral</w:t>
      </w:r>
      <w:r>
        <w:rPr>
          <w:rFonts w:ascii="Arial" w:hAnsi="Arial" w:cs="Arial"/>
          <w:lang w:val="es-PA"/>
        </w:rPr>
        <w:t xml:space="preserve">, contrato suspendido, </w:t>
      </w:r>
      <w:r w:rsidR="006365F8">
        <w:rPr>
          <w:rFonts w:ascii="Arial" w:hAnsi="Arial" w:cs="Arial"/>
          <w:lang w:val="es-PA"/>
        </w:rPr>
        <w:t xml:space="preserve">desempleado, </w:t>
      </w:r>
      <w:r>
        <w:rPr>
          <w:rFonts w:ascii="Arial" w:hAnsi="Arial" w:cs="Arial"/>
          <w:lang w:val="es-PA"/>
        </w:rPr>
        <w:t>servicios profesionales sujetos a restricciones y otros. Esto tiene una relación importante con la actividad económica a la que están vinculados.</w:t>
      </w:r>
    </w:p>
    <w:p w:rsidR="00C55307" w:rsidRDefault="00C55307" w:rsidP="00192B4E">
      <w:pPr>
        <w:tabs>
          <w:tab w:val="left" w:pos="360"/>
          <w:tab w:val="left" w:pos="450"/>
        </w:tabs>
        <w:spacing w:after="0" w:line="276" w:lineRule="auto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6365F8">
        <w:rPr>
          <w:rFonts w:ascii="Arial" w:hAnsi="Arial" w:cs="Arial"/>
          <w:lang w:val="es-PA"/>
        </w:rPr>
        <w:t>En el quinto nivel tendríamos la segmentación por tipo de facilidad crediticia.</w:t>
      </w:r>
      <w:r w:rsidR="00CF6BEB">
        <w:rPr>
          <w:rFonts w:ascii="Arial" w:hAnsi="Arial" w:cs="Arial"/>
          <w:lang w:val="es-PA"/>
        </w:rPr>
        <w:t xml:space="preserve">  </w:t>
      </w:r>
    </w:p>
    <w:p w:rsidR="00CF6BEB" w:rsidRDefault="00CF6BEB" w:rsidP="00192B4E">
      <w:pPr>
        <w:tabs>
          <w:tab w:val="left" w:pos="360"/>
          <w:tab w:val="left" w:pos="450"/>
        </w:tabs>
        <w:spacing w:after="0" w:line="276" w:lineRule="auto"/>
        <w:rPr>
          <w:rFonts w:ascii="Arial" w:hAnsi="Arial" w:cs="Arial"/>
          <w:lang w:val="es-PA"/>
        </w:rPr>
      </w:pPr>
    </w:p>
    <w:p w:rsidR="00CF6BEB" w:rsidRDefault="00CF6BEB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lastRenderedPageBreak/>
        <w:t>Para los préstamos corporativos: préstamos sindicados, comerciales, hipotecarios comerciales, leasing y otros.</w:t>
      </w:r>
    </w:p>
    <w:p w:rsidR="00CF6BEB" w:rsidRDefault="00CF6BEB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</w:p>
    <w:p w:rsidR="00641B08" w:rsidRDefault="00CF6BEB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Para los préstamos</w:t>
      </w:r>
      <w:r w:rsidR="00C04F60">
        <w:rPr>
          <w:rFonts w:ascii="Arial" w:hAnsi="Arial" w:cs="Arial"/>
          <w:lang w:val="es-PA"/>
        </w:rPr>
        <w:t xml:space="preserve"> a personas</w:t>
      </w:r>
      <w:r>
        <w:rPr>
          <w:rFonts w:ascii="Arial" w:hAnsi="Arial" w:cs="Arial"/>
          <w:lang w:val="es-PA"/>
        </w:rPr>
        <w:t>: préstamo hipotecario, personal, de auto, tarjetas de crédito y otros.</w:t>
      </w:r>
      <w:r>
        <w:rPr>
          <w:rFonts w:ascii="Arial" w:hAnsi="Arial" w:cs="Arial"/>
          <w:lang w:val="es-PA"/>
        </w:rPr>
        <w:br/>
      </w:r>
      <w:r>
        <w:rPr>
          <w:rFonts w:ascii="Arial" w:hAnsi="Arial" w:cs="Arial"/>
          <w:lang w:val="es-PA"/>
        </w:rPr>
        <w:br/>
        <w:t>Finalmente el último nivel de segmentación corresponde a</w:t>
      </w:r>
      <w:r w:rsidR="00F05D97">
        <w:rPr>
          <w:rFonts w:ascii="Arial" w:hAnsi="Arial" w:cs="Arial"/>
          <w:lang w:val="es-PA"/>
        </w:rPr>
        <w:t>l tipo</w:t>
      </w:r>
      <w:r w:rsidR="0058783F">
        <w:rPr>
          <w:rFonts w:ascii="Arial" w:hAnsi="Arial" w:cs="Arial"/>
          <w:lang w:val="es-PA"/>
        </w:rPr>
        <w:t xml:space="preserve"> </w:t>
      </w:r>
      <w:r>
        <w:rPr>
          <w:rFonts w:ascii="Arial" w:hAnsi="Arial" w:cs="Arial"/>
          <w:lang w:val="es-PA"/>
        </w:rPr>
        <w:t>de alivio financiero al cual se está acogiendo el deudor</w:t>
      </w:r>
      <w:r w:rsidR="000551F1">
        <w:rPr>
          <w:rFonts w:ascii="Arial" w:hAnsi="Arial" w:cs="Arial"/>
          <w:lang w:val="es-PA"/>
        </w:rPr>
        <w:t>:</w:t>
      </w:r>
      <w:r>
        <w:rPr>
          <w:rFonts w:ascii="Arial" w:hAnsi="Arial" w:cs="Arial"/>
          <w:lang w:val="es-PA"/>
        </w:rPr>
        <w:t xml:space="preserve"> moratoria automática, préstamos </w:t>
      </w:r>
      <w:r w:rsidR="00C21B66">
        <w:rPr>
          <w:rFonts w:ascii="Arial" w:hAnsi="Arial" w:cs="Arial"/>
          <w:lang w:val="es-PA"/>
        </w:rPr>
        <w:t xml:space="preserve">mención especial </w:t>
      </w:r>
      <w:r>
        <w:rPr>
          <w:rFonts w:ascii="Arial" w:hAnsi="Arial" w:cs="Arial"/>
          <w:lang w:val="es-PA"/>
        </w:rPr>
        <w:t>modificados, moratoria extendida, reestructuraciones y otros.</w:t>
      </w:r>
    </w:p>
    <w:p w:rsidR="0058783F" w:rsidRDefault="0058783F" w:rsidP="00641B08">
      <w:pPr>
        <w:tabs>
          <w:tab w:val="left" w:pos="360"/>
          <w:tab w:val="left" w:pos="450"/>
        </w:tabs>
        <w:spacing w:after="0" w:line="276" w:lineRule="auto"/>
        <w:jc w:val="both"/>
        <w:rPr>
          <w:rFonts w:ascii="Arial" w:hAnsi="Arial" w:cs="Arial"/>
          <w:lang w:val="es-PA"/>
        </w:rPr>
      </w:pPr>
    </w:p>
    <w:p w:rsidR="000551F1" w:rsidRPr="0058783F" w:rsidRDefault="0058783F" w:rsidP="0058783F">
      <w:pPr>
        <w:pStyle w:val="Prrafodelista"/>
        <w:numPr>
          <w:ilvl w:val="0"/>
          <w:numId w:val="1"/>
        </w:numPr>
        <w:tabs>
          <w:tab w:val="left" w:pos="360"/>
          <w:tab w:val="left" w:pos="450"/>
        </w:tabs>
        <w:spacing w:after="0" w:line="276" w:lineRule="auto"/>
        <w:ind w:left="0" w:firstLine="0"/>
        <w:rPr>
          <w:rFonts w:ascii="Arial" w:hAnsi="Arial" w:cs="Arial"/>
          <w:b/>
          <w:lang w:val="es-PA"/>
        </w:rPr>
      </w:pPr>
      <w:r w:rsidRPr="0058783F">
        <w:rPr>
          <w:rFonts w:ascii="Arial" w:hAnsi="Arial" w:cs="Arial"/>
          <w:b/>
          <w:lang w:val="es-PA"/>
        </w:rPr>
        <w:t xml:space="preserve">Asignación </w:t>
      </w:r>
      <w:r w:rsidR="0073409F">
        <w:rPr>
          <w:rFonts w:ascii="Arial" w:hAnsi="Arial" w:cs="Arial"/>
          <w:b/>
          <w:lang w:val="es-PA"/>
        </w:rPr>
        <w:t>de</w:t>
      </w:r>
      <w:r w:rsidRPr="0058783F">
        <w:rPr>
          <w:rFonts w:ascii="Arial" w:hAnsi="Arial" w:cs="Arial"/>
          <w:b/>
          <w:lang w:val="es-PA"/>
        </w:rPr>
        <w:t xml:space="preserve"> nivel de riesgo</w:t>
      </w:r>
      <w:r w:rsidR="000551F1" w:rsidRPr="0058783F">
        <w:rPr>
          <w:rFonts w:ascii="Arial" w:hAnsi="Arial" w:cs="Arial"/>
          <w:b/>
          <w:lang w:val="es-PA"/>
        </w:rPr>
        <w:br/>
      </w:r>
    </w:p>
    <w:p w:rsidR="0058783F" w:rsidRPr="0058783F" w:rsidRDefault="0058783F" w:rsidP="00641B08">
      <w:pPr>
        <w:tabs>
          <w:tab w:val="left" w:pos="360"/>
          <w:tab w:val="left" w:pos="450"/>
        </w:tabs>
        <w:spacing w:after="0" w:line="276" w:lineRule="auto"/>
        <w:contextualSpacing/>
        <w:jc w:val="both"/>
        <w:rPr>
          <w:rFonts w:ascii="Arial" w:hAnsi="Arial" w:cs="Arial"/>
          <w:lang w:val="es-PA"/>
        </w:rPr>
      </w:pPr>
      <w:r w:rsidRPr="0058783F">
        <w:rPr>
          <w:rFonts w:ascii="Arial" w:hAnsi="Arial" w:cs="Arial"/>
          <w:lang w:val="es-PA"/>
        </w:rPr>
        <w:t xml:space="preserve">Una vez segmentada la cartera por sus características intrínsecas y tipología de alivio financiero, es necesario categorizar la cartera de créditos con base a sus niveles de riesgo. Dicha categorización ayudará posteriormente a realizar la segregación por </w:t>
      </w:r>
      <w:r>
        <w:rPr>
          <w:rFonts w:ascii="Arial" w:hAnsi="Arial" w:cs="Arial"/>
          <w:lang w:val="es-PA"/>
        </w:rPr>
        <w:t>“</w:t>
      </w:r>
      <w:proofErr w:type="spellStart"/>
      <w:r w:rsidRPr="00B459CA">
        <w:rPr>
          <w:rFonts w:ascii="Arial" w:hAnsi="Arial" w:cs="Arial"/>
          <w:i/>
          <w:lang w:val="es-PA"/>
        </w:rPr>
        <w:t>stages</w:t>
      </w:r>
      <w:proofErr w:type="spellEnd"/>
      <w:r>
        <w:rPr>
          <w:rFonts w:ascii="Arial" w:hAnsi="Arial" w:cs="Arial"/>
          <w:lang w:val="es-PA"/>
        </w:rPr>
        <w:t>” o e</w:t>
      </w:r>
      <w:r w:rsidRPr="0058783F">
        <w:rPr>
          <w:rFonts w:ascii="Arial" w:hAnsi="Arial" w:cs="Arial"/>
          <w:lang w:val="es-PA"/>
        </w:rPr>
        <w:t>tapas indicadas por la NIIF 9</w:t>
      </w:r>
      <w:r w:rsidR="00F05D97">
        <w:rPr>
          <w:rFonts w:ascii="Arial" w:hAnsi="Arial" w:cs="Arial"/>
          <w:lang w:val="es-PA"/>
        </w:rPr>
        <w:t xml:space="preserve"> (Ver sección V)</w:t>
      </w:r>
      <w:r w:rsidRPr="0058783F">
        <w:rPr>
          <w:rFonts w:ascii="Arial" w:hAnsi="Arial" w:cs="Arial"/>
          <w:lang w:val="es-PA"/>
        </w:rPr>
        <w:t xml:space="preserve">. </w:t>
      </w:r>
    </w:p>
    <w:p w:rsidR="00641B08" w:rsidRDefault="00641B08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rPr>
          <w:rFonts w:ascii="Arial" w:hAnsi="Arial" w:cs="Arial"/>
          <w:lang w:val="es-PA"/>
        </w:rPr>
      </w:pPr>
    </w:p>
    <w:p w:rsidR="00641B08" w:rsidRDefault="0058783F" w:rsidP="00641B08">
      <w:pPr>
        <w:jc w:val="both"/>
        <w:rPr>
          <w:rFonts w:ascii="Arial" w:hAnsi="Arial" w:cs="Arial"/>
          <w:lang w:val="es-PA"/>
        </w:rPr>
      </w:pPr>
      <w:r w:rsidRPr="0058783F">
        <w:rPr>
          <w:rFonts w:ascii="Arial" w:hAnsi="Arial" w:cs="Arial"/>
          <w:lang w:val="es-PA"/>
        </w:rPr>
        <w:t>En esta categorización se deben utilizar los modelos basado</w:t>
      </w:r>
      <w:r w:rsidR="00F05D97">
        <w:rPr>
          <w:rFonts w:ascii="Arial" w:hAnsi="Arial" w:cs="Arial"/>
          <w:lang w:val="es-PA"/>
        </w:rPr>
        <w:t>s</w:t>
      </w:r>
      <w:r w:rsidRPr="0058783F">
        <w:rPr>
          <w:rFonts w:ascii="Arial" w:hAnsi="Arial" w:cs="Arial"/>
          <w:lang w:val="es-PA"/>
        </w:rPr>
        <w:t xml:space="preserve"> en mora, así como los modelos internos basados en calificación de cartera</w:t>
      </w:r>
      <w:r w:rsidR="00F05D97">
        <w:rPr>
          <w:rFonts w:ascii="Arial" w:hAnsi="Arial" w:cs="Arial"/>
          <w:lang w:val="es-PA"/>
        </w:rPr>
        <w:t xml:space="preserve"> (modelos de “</w:t>
      </w:r>
      <w:proofErr w:type="spellStart"/>
      <w:r w:rsidR="00F05D97" w:rsidRPr="00B459CA">
        <w:rPr>
          <w:rFonts w:ascii="Arial" w:hAnsi="Arial" w:cs="Arial"/>
          <w:i/>
          <w:lang w:val="es-PA"/>
        </w:rPr>
        <w:t>scoring</w:t>
      </w:r>
      <w:proofErr w:type="spellEnd"/>
      <w:r w:rsidR="00F05D97">
        <w:rPr>
          <w:rFonts w:ascii="Arial" w:hAnsi="Arial" w:cs="Arial"/>
          <w:lang w:val="es-PA"/>
        </w:rPr>
        <w:t>”, homologación a categorías regulatorias incluidas en el Acuerdo No.</w:t>
      </w:r>
      <w:r w:rsidR="00C21B66">
        <w:rPr>
          <w:rFonts w:ascii="Arial" w:hAnsi="Arial" w:cs="Arial"/>
          <w:lang w:val="es-PA"/>
        </w:rPr>
        <w:t xml:space="preserve"> </w:t>
      </w:r>
      <w:r w:rsidR="00F05D97">
        <w:rPr>
          <w:rFonts w:ascii="Arial" w:hAnsi="Arial" w:cs="Arial"/>
          <w:lang w:val="es-PA"/>
        </w:rPr>
        <w:t>4-2013, etc.)</w:t>
      </w:r>
      <w:r w:rsidRPr="0058783F">
        <w:rPr>
          <w:rFonts w:ascii="Arial" w:hAnsi="Arial" w:cs="Arial"/>
          <w:lang w:val="es-PA"/>
        </w:rPr>
        <w:t>.</w:t>
      </w:r>
    </w:p>
    <w:p w:rsidR="00641B08" w:rsidRDefault="00641B08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rPr>
          <w:rFonts w:ascii="Arial" w:hAnsi="Arial" w:cs="Arial"/>
          <w:lang w:val="es-PA"/>
        </w:rPr>
      </w:pPr>
    </w:p>
    <w:p w:rsidR="00641B08" w:rsidRDefault="00814D1E" w:rsidP="0091742D">
      <w:pPr>
        <w:pStyle w:val="Prrafodelista"/>
        <w:numPr>
          <w:ilvl w:val="0"/>
          <w:numId w:val="1"/>
        </w:numPr>
        <w:tabs>
          <w:tab w:val="left" w:pos="360"/>
          <w:tab w:val="left" w:pos="450"/>
        </w:tabs>
        <w:spacing w:after="0" w:line="276" w:lineRule="auto"/>
        <w:ind w:left="0" w:firstLine="0"/>
        <w:rPr>
          <w:rFonts w:ascii="Arial" w:hAnsi="Arial" w:cs="Arial"/>
          <w:lang w:val="es-PA"/>
        </w:rPr>
      </w:pPr>
      <w:r w:rsidRPr="003112FE">
        <w:rPr>
          <w:rFonts w:ascii="Arial" w:hAnsi="Arial" w:cs="Arial"/>
          <w:b/>
          <w:lang w:val="es-PA"/>
        </w:rPr>
        <w:t>Determinar incremento significativo de riesgo</w:t>
      </w:r>
      <w:r w:rsidR="00552B6F" w:rsidRPr="003112FE">
        <w:rPr>
          <w:rFonts w:ascii="Arial" w:hAnsi="Arial" w:cs="Arial"/>
          <w:b/>
          <w:lang w:val="es-PA"/>
        </w:rPr>
        <w:t xml:space="preserve"> de crédito</w:t>
      </w:r>
      <w:r w:rsidR="00C04F60">
        <w:rPr>
          <w:rFonts w:ascii="Arial" w:hAnsi="Arial" w:cs="Arial"/>
          <w:b/>
          <w:lang w:val="es-PA"/>
        </w:rPr>
        <w:t xml:space="preserve"> </w:t>
      </w:r>
      <w:r w:rsidR="00641B08" w:rsidRPr="00E84C4A">
        <w:rPr>
          <w:rFonts w:ascii="Arial" w:hAnsi="Arial" w:cs="Arial"/>
          <w:b/>
          <w:lang w:val="es-PA"/>
        </w:rPr>
        <w:t xml:space="preserve">(ISRC) </w:t>
      </w:r>
      <w:r w:rsidR="00641B08">
        <w:rPr>
          <w:rFonts w:ascii="Arial" w:hAnsi="Arial" w:cs="Arial"/>
          <w:b/>
          <w:lang w:val="es-PA"/>
        </w:rPr>
        <w:t xml:space="preserve">y ubicación en </w:t>
      </w:r>
      <w:r w:rsidRPr="003112FE">
        <w:rPr>
          <w:rFonts w:ascii="Arial" w:hAnsi="Arial" w:cs="Arial"/>
          <w:b/>
          <w:lang w:val="es-PA"/>
        </w:rPr>
        <w:t>Etapa 1, 2 o 3.</w:t>
      </w:r>
      <w:r w:rsidR="00CF6BEB" w:rsidRPr="0074140A">
        <w:rPr>
          <w:rFonts w:ascii="Arial" w:hAnsi="Arial" w:cs="Arial"/>
          <w:lang w:val="es-PA"/>
        </w:rPr>
        <w:br/>
      </w:r>
    </w:p>
    <w:p w:rsidR="00641B08" w:rsidRDefault="00EA1E04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 w:rsidRPr="0074140A">
        <w:rPr>
          <w:rFonts w:ascii="Arial" w:hAnsi="Arial" w:cs="Arial"/>
          <w:lang w:val="es-PA"/>
        </w:rPr>
        <w:t>La NIIF 9 pide que los bancos evalúen</w:t>
      </w:r>
      <w:r w:rsidR="005D6669" w:rsidRPr="0074140A">
        <w:rPr>
          <w:rFonts w:ascii="Arial" w:hAnsi="Arial" w:cs="Arial"/>
          <w:lang w:val="es-PA"/>
        </w:rPr>
        <w:t>,</w:t>
      </w:r>
      <w:r w:rsidRPr="0074140A">
        <w:rPr>
          <w:rFonts w:ascii="Arial" w:hAnsi="Arial" w:cs="Arial"/>
          <w:lang w:val="es-PA"/>
        </w:rPr>
        <w:t xml:space="preserve"> en cada cierre contable</w:t>
      </w:r>
      <w:r w:rsidR="005D6669" w:rsidRPr="0074140A">
        <w:rPr>
          <w:rFonts w:ascii="Arial" w:hAnsi="Arial" w:cs="Arial"/>
          <w:lang w:val="es-PA"/>
        </w:rPr>
        <w:t>,</w:t>
      </w:r>
      <w:r w:rsidRPr="0074140A">
        <w:rPr>
          <w:rFonts w:ascii="Arial" w:hAnsi="Arial" w:cs="Arial"/>
          <w:lang w:val="es-PA"/>
        </w:rPr>
        <w:t xml:space="preserve"> </w:t>
      </w:r>
      <w:r w:rsidR="005D6669" w:rsidRPr="0074140A">
        <w:rPr>
          <w:rFonts w:ascii="Arial" w:hAnsi="Arial" w:cs="Arial"/>
          <w:lang w:val="es-PA"/>
        </w:rPr>
        <w:t>si el riesgo de crédito de un instrumento financiero se ha incrementado</w:t>
      </w:r>
      <w:r w:rsidR="00C04F60">
        <w:rPr>
          <w:rFonts w:ascii="Arial" w:hAnsi="Arial" w:cs="Arial"/>
          <w:lang w:val="es-PA"/>
        </w:rPr>
        <w:t xml:space="preserve"> significativamente</w:t>
      </w:r>
      <w:r w:rsidR="005D6669" w:rsidRPr="0074140A">
        <w:rPr>
          <w:rFonts w:ascii="Arial" w:hAnsi="Arial" w:cs="Arial"/>
          <w:lang w:val="es-PA"/>
        </w:rPr>
        <w:t xml:space="preserve"> desde su originación</w:t>
      </w:r>
      <w:r w:rsidR="00F7699F">
        <w:rPr>
          <w:rFonts w:ascii="Arial" w:hAnsi="Arial" w:cs="Arial"/>
          <w:lang w:val="es-PA"/>
        </w:rPr>
        <w:t xml:space="preserve"> hasta la fecha de evaluación</w:t>
      </w:r>
      <w:r w:rsidR="005D6669" w:rsidRPr="0074140A">
        <w:rPr>
          <w:rFonts w:ascii="Arial" w:hAnsi="Arial" w:cs="Arial"/>
          <w:lang w:val="es-PA"/>
        </w:rPr>
        <w:t>.</w:t>
      </w:r>
      <w:r w:rsidR="00483858" w:rsidRPr="0074140A">
        <w:rPr>
          <w:rFonts w:ascii="Arial" w:hAnsi="Arial" w:cs="Arial"/>
          <w:lang w:val="es-PA"/>
        </w:rPr>
        <w:t xml:space="preserve">  </w:t>
      </w:r>
      <w:r w:rsidR="00F05D97">
        <w:rPr>
          <w:rFonts w:ascii="Arial" w:hAnsi="Arial" w:cs="Arial"/>
          <w:lang w:val="es-PA"/>
        </w:rPr>
        <w:t>Para ello, los bancos deben definir en primera instancia si refutan la presunción de la norma de los 30 días de mora para la Etapa 2 y 90 días de incumplimiento para la Etapa 3. En caso que ref</w:t>
      </w:r>
      <w:r w:rsidR="00641B08">
        <w:rPr>
          <w:rFonts w:ascii="Arial" w:hAnsi="Arial" w:cs="Arial"/>
          <w:lang w:val="es-PA"/>
        </w:rPr>
        <w:t xml:space="preserve">uten la presunción, los bancos </w:t>
      </w:r>
      <w:r w:rsidR="00F05D97">
        <w:rPr>
          <w:rFonts w:ascii="Arial" w:hAnsi="Arial" w:cs="Arial"/>
          <w:lang w:val="es-PA"/>
        </w:rPr>
        <w:t>deben definir ISRC</w:t>
      </w:r>
      <w:r w:rsidR="00F05D97" w:rsidRPr="0074140A">
        <w:rPr>
          <w:rFonts w:ascii="Arial" w:hAnsi="Arial" w:cs="Arial"/>
          <w:lang w:val="es-PA"/>
        </w:rPr>
        <w:t xml:space="preserve"> </w:t>
      </w:r>
      <w:r w:rsidR="00F05D97">
        <w:rPr>
          <w:rFonts w:ascii="Arial" w:hAnsi="Arial" w:cs="Arial"/>
          <w:lang w:val="es-PA"/>
        </w:rPr>
        <w:t xml:space="preserve">e incumplimiento considerando los </w:t>
      </w:r>
      <w:r w:rsidR="00F05D97" w:rsidRPr="0074140A">
        <w:rPr>
          <w:rFonts w:ascii="Arial" w:hAnsi="Arial" w:cs="Arial"/>
          <w:lang w:val="es-PA"/>
        </w:rPr>
        <w:t>factores cualitativos y cuantitativos</w:t>
      </w:r>
      <w:r w:rsidR="00F05D97">
        <w:rPr>
          <w:rFonts w:ascii="Arial" w:hAnsi="Arial" w:cs="Arial"/>
          <w:lang w:val="es-PA"/>
        </w:rPr>
        <w:t xml:space="preserve"> que mejor expliquen el riesgo de crédito en alineación con las tipologías de alivios financieros.</w:t>
      </w:r>
    </w:p>
    <w:p w:rsidR="00641B08" w:rsidRDefault="00F05D97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B05747" w:rsidRPr="0074140A">
        <w:rPr>
          <w:rFonts w:ascii="Arial" w:hAnsi="Arial" w:cs="Arial"/>
          <w:lang w:val="es-PA"/>
        </w:rPr>
        <w:t>Por otra parte, c</w:t>
      </w:r>
      <w:r w:rsidR="002540D4" w:rsidRPr="0074140A">
        <w:rPr>
          <w:rFonts w:ascii="Arial" w:hAnsi="Arial" w:cs="Arial"/>
          <w:lang w:val="es-PA"/>
        </w:rPr>
        <w:t xml:space="preserve">omo se </w:t>
      </w:r>
      <w:r w:rsidR="00C04F60">
        <w:rPr>
          <w:rFonts w:ascii="Arial" w:hAnsi="Arial" w:cs="Arial"/>
          <w:lang w:val="es-PA"/>
        </w:rPr>
        <w:t>indicó</w:t>
      </w:r>
      <w:r w:rsidR="002540D4" w:rsidRPr="0074140A">
        <w:rPr>
          <w:rFonts w:ascii="Arial" w:hAnsi="Arial" w:cs="Arial"/>
          <w:lang w:val="es-PA"/>
        </w:rPr>
        <w:t xml:space="preserve"> en la antes mencionada Circular No. </w:t>
      </w:r>
      <w:r w:rsidR="00641B08" w:rsidRPr="00E84C4A">
        <w:rPr>
          <w:rFonts w:ascii="Arial" w:hAnsi="Arial" w:cs="Arial"/>
          <w:lang w:val="es-PA"/>
        </w:rPr>
        <w:t>SBP-DR-</w:t>
      </w:r>
      <w:r w:rsidR="002540D4" w:rsidRPr="00E84C4A">
        <w:rPr>
          <w:rFonts w:ascii="Arial" w:hAnsi="Arial" w:cs="Arial"/>
          <w:lang w:val="es-PA"/>
        </w:rPr>
        <w:t>120</w:t>
      </w:r>
      <w:r w:rsidR="00641B08" w:rsidRPr="00E84C4A">
        <w:rPr>
          <w:rFonts w:ascii="Arial" w:hAnsi="Arial" w:cs="Arial"/>
          <w:lang w:val="es-PA"/>
        </w:rPr>
        <w:t>-2020</w:t>
      </w:r>
      <w:r w:rsidR="00F03CFF" w:rsidRPr="00E84C4A">
        <w:rPr>
          <w:rFonts w:ascii="Arial" w:hAnsi="Arial" w:cs="Arial"/>
          <w:lang w:val="es-PA"/>
        </w:rPr>
        <w:t xml:space="preserve">, la prórroga de pagos de préstamos o préstamos </w:t>
      </w:r>
      <w:r w:rsidR="00C21B66" w:rsidRPr="00E84C4A">
        <w:rPr>
          <w:rFonts w:ascii="Arial" w:hAnsi="Arial" w:cs="Arial"/>
          <w:lang w:val="es-PA"/>
        </w:rPr>
        <w:t xml:space="preserve">mención especial </w:t>
      </w:r>
      <w:r w:rsidR="00F03CFF" w:rsidRPr="00E84C4A">
        <w:rPr>
          <w:rFonts w:ascii="Arial" w:hAnsi="Arial" w:cs="Arial"/>
          <w:lang w:val="es-PA"/>
        </w:rPr>
        <w:t xml:space="preserve">modificados establecidos por el Acuerdo 2-2020 o sus extensiones, no se traduce automáticamente en ISRC de dichos préstamos.  Es </w:t>
      </w:r>
      <w:r w:rsidR="00641B08" w:rsidRPr="00E84C4A">
        <w:rPr>
          <w:rFonts w:ascii="Arial" w:hAnsi="Arial" w:cs="Arial"/>
          <w:lang w:val="es-PA"/>
        </w:rPr>
        <w:t>decir,</w:t>
      </w:r>
      <w:r w:rsidR="00F03CFF" w:rsidRPr="00E84C4A">
        <w:rPr>
          <w:rFonts w:ascii="Arial" w:hAnsi="Arial" w:cs="Arial"/>
          <w:lang w:val="es-PA"/>
        </w:rPr>
        <w:t xml:space="preserve"> los mecanismos que tienen los bancos para automáticamente detonar un ISRC pueden no ser apropiados </w:t>
      </w:r>
      <w:r w:rsidR="00B05747" w:rsidRPr="00E84C4A">
        <w:rPr>
          <w:rFonts w:ascii="Arial" w:hAnsi="Arial" w:cs="Arial"/>
          <w:lang w:val="es-PA"/>
        </w:rPr>
        <w:t xml:space="preserve">para este tipo de préstamos </w:t>
      </w:r>
      <w:r w:rsidR="00F03CFF" w:rsidRPr="00E84C4A">
        <w:rPr>
          <w:rFonts w:ascii="Arial" w:hAnsi="Arial" w:cs="Arial"/>
          <w:lang w:val="es-PA"/>
        </w:rPr>
        <w:t xml:space="preserve">en las actuales circunstancias.  Sin embargo, es ilusorio pensar que ninguno de estos préstamos modificados y con extensiones no terminen eventualmente afectados significativamente por la crisis </w:t>
      </w:r>
      <w:r w:rsidR="00641B08" w:rsidRPr="00E84C4A">
        <w:rPr>
          <w:rFonts w:ascii="Arial" w:hAnsi="Arial" w:cs="Arial"/>
          <w:lang w:val="es-PA"/>
        </w:rPr>
        <w:t xml:space="preserve">de la </w:t>
      </w:r>
      <w:r w:rsidR="00F03CFF" w:rsidRPr="00E84C4A">
        <w:rPr>
          <w:rFonts w:ascii="Arial" w:hAnsi="Arial" w:cs="Arial"/>
          <w:lang w:val="es-PA"/>
        </w:rPr>
        <w:t>COVID</w:t>
      </w:r>
      <w:r w:rsidR="00F03CFF" w:rsidRPr="0074140A">
        <w:rPr>
          <w:rFonts w:ascii="Arial" w:hAnsi="Arial" w:cs="Arial"/>
          <w:lang w:val="es-PA"/>
        </w:rPr>
        <w:t>-19</w:t>
      </w:r>
      <w:r w:rsidR="007E20CC" w:rsidRPr="0074140A">
        <w:rPr>
          <w:rFonts w:ascii="Arial" w:hAnsi="Arial" w:cs="Arial"/>
          <w:lang w:val="es-PA"/>
        </w:rPr>
        <w:t xml:space="preserve"> y resulten con ISRC, incumplimiento o deterioro</w:t>
      </w:r>
      <w:r w:rsidR="00F03CFF" w:rsidRPr="0074140A">
        <w:rPr>
          <w:rFonts w:ascii="Arial" w:hAnsi="Arial" w:cs="Arial"/>
          <w:lang w:val="es-PA"/>
        </w:rPr>
        <w:t xml:space="preserve">.  </w:t>
      </w:r>
      <w:r w:rsidR="00552B6F" w:rsidRPr="0074140A">
        <w:rPr>
          <w:rFonts w:ascii="Arial" w:hAnsi="Arial" w:cs="Arial"/>
          <w:lang w:val="es-PA"/>
        </w:rPr>
        <w:t>De ahí la importancia del análisis cuidadoso de la segmentación de cartera y su asignación de nivel de riesgo unido a la evaluación cualitativa y cuantitativa del ISRC, como base para realizar una adecuada provisión para pérdidas de crédito esperadas.</w:t>
      </w:r>
      <w:r w:rsidR="00552B6F" w:rsidRPr="0074140A">
        <w:rPr>
          <w:rFonts w:ascii="Arial" w:hAnsi="Arial" w:cs="Arial"/>
          <w:lang w:val="es-PA"/>
        </w:rPr>
        <w:br/>
      </w:r>
      <w:r w:rsidR="00552B6F" w:rsidRPr="0074140A">
        <w:rPr>
          <w:rFonts w:ascii="Arial" w:hAnsi="Arial" w:cs="Arial"/>
          <w:lang w:val="es-PA"/>
        </w:rPr>
        <w:br/>
      </w:r>
      <w:r w:rsidR="007E20CC" w:rsidRPr="0074140A">
        <w:rPr>
          <w:rFonts w:ascii="Arial" w:hAnsi="Arial" w:cs="Arial"/>
          <w:lang w:val="es-PA"/>
        </w:rPr>
        <w:lastRenderedPageBreak/>
        <w:t xml:space="preserve">Con respecto a la ubicación de las facilidades por etapa, el análisis debería hacerse, para las exposiciones </w:t>
      </w:r>
      <w:r w:rsidR="00641B08" w:rsidRPr="0074140A">
        <w:rPr>
          <w:rFonts w:ascii="Arial" w:hAnsi="Arial" w:cs="Arial"/>
          <w:lang w:val="es-PA"/>
        </w:rPr>
        <w:t>individualmente importantes</w:t>
      </w:r>
      <w:r w:rsidR="007E20CC" w:rsidRPr="0074140A">
        <w:rPr>
          <w:rFonts w:ascii="Arial" w:hAnsi="Arial" w:cs="Arial"/>
          <w:lang w:val="es-PA"/>
        </w:rPr>
        <w:t xml:space="preserve">, sobre la base de caso por caso. Para los clientes con exposiciones menos importantes </w:t>
      </w:r>
      <w:r w:rsidR="000A20F5" w:rsidRPr="0074140A">
        <w:rPr>
          <w:rFonts w:ascii="Arial" w:hAnsi="Arial" w:cs="Arial"/>
          <w:lang w:val="es-PA"/>
        </w:rPr>
        <w:t>y particularmente con lo</w:t>
      </w:r>
      <w:r w:rsidR="00E3645C" w:rsidRPr="0074140A">
        <w:rPr>
          <w:rFonts w:ascii="Arial" w:hAnsi="Arial" w:cs="Arial"/>
          <w:lang w:val="es-PA"/>
        </w:rPr>
        <w:t xml:space="preserve">s préstamos </w:t>
      </w:r>
      <w:r w:rsidR="007C240C">
        <w:rPr>
          <w:rFonts w:ascii="Arial" w:hAnsi="Arial" w:cs="Arial"/>
          <w:lang w:val="es-PA"/>
        </w:rPr>
        <w:t>a personas</w:t>
      </w:r>
      <w:r w:rsidR="00E3645C" w:rsidRPr="0074140A">
        <w:rPr>
          <w:rFonts w:ascii="Arial" w:hAnsi="Arial" w:cs="Arial"/>
          <w:lang w:val="es-PA"/>
        </w:rPr>
        <w:t>, el análisis debería ser de manera colectiva sobre la respectiva cartera.</w:t>
      </w:r>
    </w:p>
    <w:p w:rsidR="003D02E3" w:rsidRDefault="00552B6F" w:rsidP="00641B08">
      <w:pPr>
        <w:pStyle w:val="Prrafodelista"/>
        <w:tabs>
          <w:tab w:val="left" w:pos="360"/>
          <w:tab w:val="left" w:pos="450"/>
        </w:tabs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 w:rsidRPr="0074140A">
        <w:rPr>
          <w:rFonts w:ascii="Arial" w:hAnsi="Arial" w:cs="Arial"/>
          <w:lang w:val="es-PA"/>
        </w:rPr>
        <w:br/>
      </w:r>
      <w:r w:rsidR="000A20F5" w:rsidRPr="0074140A">
        <w:rPr>
          <w:rFonts w:ascii="Arial" w:hAnsi="Arial" w:cs="Arial"/>
          <w:lang w:val="es-PA"/>
        </w:rPr>
        <w:t xml:space="preserve">En resumen, los bancos a esta </w:t>
      </w:r>
      <w:r w:rsidR="00E84C4A" w:rsidRPr="0074140A">
        <w:rPr>
          <w:rFonts w:ascii="Arial" w:hAnsi="Arial" w:cs="Arial"/>
          <w:lang w:val="es-PA"/>
        </w:rPr>
        <w:t>altura</w:t>
      </w:r>
      <w:r w:rsidR="000A20F5" w:rsidRPr="0074140A">
        <w:rPr>
          <w:rFonts w:ascii="Arial" w:hAnsi="Arial" w:cs="Arial"/>
          <w:lang w:val="es-PA"/>
        </w:rPr>
        <w:t xml:space="preserve"> deberían tener diferenciados aquellos clientes que como consecuencia de la crisis tienen un problema temporal de liquidez que les impide hacer frente a sus obligaciones financieras a corto plazo, de aquellos </w:t>
      </w:r>
      <w:r w:rsidR="00B05747" w:rsidRPr="0074140A">
        <w:rPr>
          <w:rFonts w:ascii="Arial" w:hAnsi="Arial" w:cs="Arial"/>
          <w:lang w:val="es-PA"/>
        </w:rPr>
        <w:t>que en adición a sus problemas de liquidez presentan también problemas de solvencia y que su futuro post-crisis está comprometido y que deberían ser clasificados como Etapa 2 o 3</w:t>
      </w:r>
      <w:r w:rsidR="00F05D97">
        <w:rPr>
          <w:rFonts w:ascii="Arial" w:hAnsi="Arial" w:cs="Arial"/>
          <w:lang w:val="es-PA"/>
        </w:rPr>
        <w:t>, de acuerdo con la definición de ISRC</w:t>
      </w:r>
      <w:r w:rsidR="00B05747" w:rsidRPr="0074140A">
        <w:rPr>
          <w:rFonts w:ascii="Arial" w:hAnsi="Arial" w:cs="Arial"/>
          <w:lang w:val="es-PA"/>
        </w:rPr>
        <w:t>.</w:t>
      </w:r>
      <w:r w:rsidR="003D02E3">
        <w:rPr>
          <w:rFonts w:ascii="Arial" w:hAnsi="Arial" w:cs="Arial"/>
          <w:lang w:val="es-PA"/>
        </w:rPr>
        <w:br/>
      </w:r>
    </w:p>
    <w:p w:rsidR="0074140A" w:rsidRPr="003112FE" w:rsidRDefault="003D02E3" w:rsidP="0091742D">
      <w:pPr>
        <w:pStyle w:val="Prrafodelista"/>
        <w:numPr>
          <w:ilvl w:val="0"/>
          <w:numId w:val="1"/>
        </w:numPr>
        <w:tabs>
          <w:tab w:val="left" w:pos="360"/>
          <w:tab w:val="left" w:pos="450"/>
        </w:tabs>
        <w:spacing w:after="0" w:line="276" w:lineRule="auto"/>
        <w:ind w:left="0" w:firstLine="0"/>
        <w:rPr>
          <w:rFonts w:ascii="Arial" w:hAnsi="Arial" w:cs="Arial"/>
          <w:b/>
          <w:lang w:val="es-PA"/>
        </w:rPr>
      </w:pPr>
      <w:r w:rsidRPr="003112FE">
        <w:rPr>
          <w:rFonts w:ascii="Arial" w:eastAsia="Calibri" w:hAnsi="Arial" w:cs="Arial"/>
          <w:b/>
          <w:lang w:val="es-PA"/>
        </w:rPr>
        <w:t>Cálculo de la provisión para pérdidas de crédito esperadas</w:t>
      </w:r>
      <w:r w:rsidR="00C3740C" w:rsidRPr="003112FE">
        <w:rPr>
          <w:rFonts w:ascii="Arial" w:eastAsia="Calibri" w:hAnsi="Arial" w:cs="Arial"/>
          <w:b/>
          <w:lang w:val="es-PA"/>
        </w:rPr>
        <w:t xml:space="preserve"> (PCE)</w:t>
      </w:r>
      <w:r w:rsidR="0074140A" w:rsidRPr="003112FE">
        <w:rPr>
          <w:rFonts w:ascii="Arial" w:hAnsi="Arial" w:cs="Arial"/>
          <w:b/>
          <w:lang w:val="es-PA"/>
        </w:rPr>
        <w:br/>
      </w:r>
    </w:p>
    <w:p w:rsidR="00641B08" w:rsidRDefault="00206CC8" w:rsidP="00641B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s-PA"/>
        </w:rPr>
      </w:pPr>
      <w:r w:rsidRPr="00206CC8">
        <w:rPr>
          <w:rFonts w:ascii="Arial" w:hAnsi="Arial" w:cs="Arial"/>
          <w:lang w:val="es-PA"/>
        </w:rPr>
        <w:t xml:space="preserve">La NIIF 9 determina que las entidades medirán las </w:t>
      </w:r>
      <w:r w:rsidR="00C3740C">
        <w:rPr>
          <w:rFonts w:ascii="Arial" w:hAnsi="Arial" w:cs="Arial"/>
          <w:lang w:val="es-PA"/>
        </w:rPr>
        <w:t>PCE</w:t>
      </w:r>
      <w:r w:rsidRPr="00206CC8">
        <w:rPr>
          <w:rFonts w:ascii="Arial" w:hAnsi="Arial" w:cs="Arial"/>
          <w:lang w:val="es-PA"/>
        </w:rPr>
        <w:t xml:space="preserve"> de manera que reflejen “</w:t>
      </w:r>
      <w:r w:rsidRPr="00206CC8">
        <w:rPr>
          <w:rFonts w:ascii="Arial" w:hAnsi="Arial" w:cs="Arial"/>
          <w:bCs/>
          <w:i/>
          <w:lang w:val="es-PA"/>
        </w:rPr>
        <w:t>un importe de probabilidad ponderada no sesgado que se determina mediante la evaluación de un rango de resultados posibles”</w:t>
      </w:r>
      <w:r w:rsidRPr="00206CC8">
        <w:rPr>
          <w:rFonts w:ascii="Arial" w:hAnsi="Arial" w:cs="Arial"/>
          <w:lang w:val="es-PA"/>
        </w:rPr>
        <w:t>. Y que esté basado</w:t>
      </w:r>
      <w:r>
        <w:rPr>
          <w:rFonts w:ascii="Arial" w:hAnsi="Arial" w:cs="Arial"/>
          <w:lang w:val="es-PA"/>
        </w:rPr>
        <w:t xml:space="preserve"> </w:t>
      </w:r>
      <w:r w:rsidRPr="00206CC8">
        <w:rPr>
          <w:rFonts w:ascii="Arial" w:hAnsi="Arial" w:cs="Arial"/>
          <w:lang w:val="es-PA"/>
        </w:rPr>
        <w:t xml:space="preserve">en </w:t>
      </w:r>
      <w:r w:rsidR="003D02E3">
        <w:rPr>
          <w:rFonts w:ascii="Arial" w:hAnsi="Arial" w:cs="Arial"/>
          <w:lang w:val="es-PA"/>
        </w:rPr>
        <w:t>“</w:t>
      </w:r>
      <w:r w:rsidR="003D02E3" w:rsidRPr="003D02E3">
        <w:rPr>
          <w:rFonts w:ascii="Arial" w:hAnsi="Arial" w:cs="Arial"/>
          <w:bCs/>
          <w:i/>
          <w:lang w:val="es-PA"/>
        </w:rPr>
        <w:t>la información razonable y sustentable que está disponible sin costo o esfuerzo desproporcionado en la fecha de presentación sobre sucesos pasados, condiciones actuales y pronósticos de condiciones económicas futuras.</w:t>
      </w:r>
      <w:r w:rsidR="003D02E3">
        <w:rPr>
          <w:rFonts w:ascii="Arial" w:hAnsi="Arial" w:cs="Arial"/>
          <w:lang w:val="es-PA"/>
        </w:rPr>
        <w:t xml:space="preserve">” En otras palabras, las </w:t>
      </w:r>
      <w:r w:rsidR="00C3740C">
        <w:rPr>
          <w:rFonts w:ascii="Arial" w:hAnsi="Arial" w:cs="Arial"/>
          <w:lang w:val="es-PA"/>
        </w:rPr>
        <w:t>PCE</w:t>
      </w:r>
      <w:r w:rsidR="003D02E3">
        <w:rPr>
          <w:rFonts w:ascii="Arial" w:hAnsi="Arial" w:cs="Arial"/>
          <w:lang w:val="es-PA"/>
        </w:rPr>
        <w:t xml:space="preserve"> deben ser a un momento determinado (“</w:t>
      </w:r>
      <w:proofErr w:type="spellStart"/>
      <w:r w:rsidR="003D02E3" w:rsidRPr="003D02E3">
        <w:rPr>
          <w:rFonts w:ascii="Arial" w:hAnsi="Arial" w:cs="Arial"/>
          <w:i/>
          <w:lang w:val="es-PA"/>
        </w:rPr>
        <w:t>point</w:t>
      </w:r>
      <w:proofErr w:type="spellEnd"/>
      <w:r w:rsidR="003D02E3" w:rsidRPr="003D02E3">
        <w:rPr>
          <w:rFonts w:ascii="Arial" w:hAnsi="Arial" w:cs="Arial"/>
          <w:i/>
          <w:lang w:val="es-PA"/>
        </w:rPr>
        <w:t>-in-time</w:t>
      </w:r>
      <w:r w:rsidR="003D02E3">
        <w:rPr>
          <w:rFonts w:ascii="Arial" w:hAnsi="Arial" w:cs="Arial"/>
          <w:lang w:val="es-PA"/>
        </w:rPr>
        <w:t>”) y prospectivas (“</w:t>
      </w:r>
      <w:r w:rsidR="003D02E3" w:rsidRPr="003D02E3">
        <w:rPr>
          <w:rFonts w:ascii="Arial" w:hAnsi="Arial" w:cs="Arial"/>
          <w:i/>
          <w:lang w:val="es-PA"/>
        </w:rPr>
        <w:t xml:space="preserve">forward </w:t>
      </w:r>
      <w:proofErr w:type="spellStart"/>
      <w:r w:rsidR="003D02E3" w:rsidRPr="003D02E3">
        <w:rPr>
          <w:rFonts w:ascii="Arial" w:hAnsi="Arial" w:cs="Arial"/>
          <w:i/>
          <w:lang w:val="es-PA"/>
        </w:rPr>
        <w:t>looking</w:t>
      </w:r>
      <w:proofErr w:type="spellEnd"/>
      <w:r w:rsidR="003D02E3">
        <w:rPr>
          <w:rFonts w:ascii="Arial" w:hAnsi="Arial" w:cs="Arial"/>
          <w:lang w:val="es-PA"/>
        </w:rPr>
        <w:t xml:space="preserve">”) de modo que no sean demasiado pesimistas o demasiado optimistas.  </w:t>
      </w:r>
      <w:r w:rsidR="001C2051">
        <w:rPr>
          <w:rFonts w:ascii="Arial" w:hAnsi="Arial" w:cs="Arial"/>
          <w:lang w:val="es-PA"/>
        </w:rPr>
        <w:t xml:space="preserve">En las actuales circunstancias, el cálculo de las </w:t>
      </w:r>
      <w:r w:rsidR="00C3740C">
        <w:rPr>
          <w:rFonts w:ascii="Arial" w:hAnsi="Arial" w:cs="Arial"/>
          <w:lang w:val="es-PA"/>
        </w:rPr>
        <w:t>PCE</w:t>
      </w:r>
      <w:r w:rsidR="001C2051">
        <w:rPr>
          <w:rFonts w:ascii="Arial" w:hAnsi="Arial" w:cs="Arial"/>
          <w:lang w:val="es-PA"/>
        </w:rPr>
        <w:t xml:space="preserve"> presenta grandes desafíos debido a la incertidumbre sobre las consecuencias económicas de la pandemia.</w:t>
      </w:r>
    </w:p>
    <w:p w:rsidR="001C2051" w:rsidRDefault="00DF0520" w:rsidP="00641B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C3740C">
        <w:rPr>
          <w:rFonts w:ascii="Arial" w:hAnsi="Arial" w:cs="Arial"/>
          <w:lang w:val="es-PA"/>
        </w:rPr>
        <w:t>Para el cálculo de las PCE deben tenerse en cuenta la clasificación en etapas s</w:t>
      </w:r>
      <w:r w:rsidR="004A7ADF">
        <w:rPr>
          <w:rFonts w:ascii="Arial" w:hAnsi="Arial" w:cs="Arial"/>
          <w:lang w:val="es-PA"/>
        </w:rPr>
        <w:t xml:space="preserve">egún se habló en </w:t>
      </w:r>
      <w:r w:rsidR="00CA0BD5">
        <w:rPr>
          <w:rFonts w:ascii="Arial" w:hAnsi="Arial" w:cs="Arial"/>
          <w:lang w:val="es-PA"/>
        </w:rPr>
        <w:t>la sección</w:t>
      </w:r>
      <w:r w:rsidR="004A7ADF">
        <w:rPr>
          <w:rFonts w:ascii="Arial" w:hAnsi="Arial" w:cs="Arial"/>
          <w:lang w:val="es-PA"/>
        </w:rPr>
        <w:t xml:space="preserve"> IV, de acuerdo con el siguiente modelo de deterioro:</w:t>
      </w:r>
    </w:p>
    <w:p w:rsidR="004A7ADF" w:rsidRPr="00626130" w:rsidRDefault="004A7ADF" w:rsidP="00DF05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PA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220"/>
        <w:gridCol w:w="2180"/>
        <w:gridCol w:w="2180"/>
        <w:gridCol w:w="2180"/>
      </w:tblGrid>
      <w:tr w:rsidR="004A7ADF" w:rsidRPr="004A7ADF" w:rsidTr="004A7ADF">
        <w:trPr>
          <w:trHeight w:val="6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837122" w:rsidP="004A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lang w:val="es-PA"/>
              </w:rPr>
              <w:br w:type="page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DF" w:rsidRPr="004A7ADF" w:rsidRDefault="004A7ADF" w:rsidP="004A7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  <w:t>Etapa 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DF" w:rsidRPr="004A7ADF" w:rsidRDefault="004A7ADF" w:rsidP="004A7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  <w:t>Etapa 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DF" w:rsidRPr="004A7ADF" w:rsidRDefault="004A7ADF" w:rsidP="004A7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  <w:t>Etapa 3</w:t>
            </w:r>
          </w:p>
        </w:tc>
      </w:tr>
      <w:tr w:rsidR="004A7ADF" w:rsidRPr="004A7ADF" w:rsidTr="004A7ADF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4A7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ADF" w:rsidRPr="004A7ADF" w:rsidRDefault="004A7ADF" w:rsidP="004A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ADF" w:rsidRPr="004A7ADF" w:rsidRDefault="004A7ADF" w:rsidP="004A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ADF" w:rsidRPr="004A7ADF" w:rsidRDefault="004A7ADF" w:rsidP="004A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 w:rsidR="004A7ADF" w:rsidRPr="004A7ADF" w:rsidTr="00A35B60">
        <w:trPr>
          <w:trHeight w:val="6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7ADF" w:rsidRPr="004A7ADF" w:rsidRDefault="00626130" w:rsidP="00A35B60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A35B60">
              <w:rPr>
                <w:rFonts w:ascii="Calibri" w:eastAsia="Times New Roman" w:hAnsi="Calibri" w:cs="Calibri"/>
                <w:color w:val="000000"/>
                <w:lang w:val="es-PA"/>
              </w:rPr>
              <w:t>Motivo de i</w:t>
            </w:r>
            <w:r w:rsidR="004A7ADF" w:rsidRPr="00A35B60">
              <w:rPr>
                <w:rFonts w:ascii="Calibri" w:eastAsia="Times New Roman" w:hAnsi="Calibri" w:cs="Calibri"/>
                <w:color w:val="000000"/>
                <w:lang w:val="es-PA"/>
              </w:rPr>
              <w:t>nclusión en cada etapa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Reconocimiento inicial</w:t>
            </w:r>
            <w:r w:rsidR="007C240C">
              <w:rPr>
                <w:rFonts w:ascii="Calibri" w:eastAsia="Times New Roman" w:hAnsi="Calibri" w:cs="Calibri"/>
                <w:color w:val="000000"/>
                <w:lang w:val="es-PA"/>
              </w:rPr>
              <w:t xml:space="preserve"> y no ISRC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DF" w:rsidRPr="004A7ADF" w:rsidRDefault="007C240C" w:rsidP="00A35B60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>
              <w:rPr>
                <w:rFonts w:ascii="Calibri" w:eastAsia="Times New Roman" w:hAnsi="Calibri" w:cs="Calibri"/>
                <w:color w:val="000000"/>
                <w:lang w:val="es-PA"/>
              </w:rPr>
              <w:t>ISRC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DF" w:rsidRPr="004A7ADF" w:rsidRDefault="00464851" w:rsidP="00A35B60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>
              <w:rPr>
                <w:rFonts w:ascii="Calibri" w:eastAsia="Times New Roman" w:hAnsi="Calibri" w:cs="Calibri"/>
                <w:color w:val="000000"/>
                <w:lang w:val="es-PA"/>
              </w:rPr>
              <w:t>Incumplimiento</w:t>
            </w:r>
          </w:p>
        </w:tc>
      </w:tr>
      <w:tr w:rsidR="004A7ADF" w:rsidRPr="004A7ADF" w:rsidTr="004A7ADF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 w:rsidR="004A7ADF" w:rsidRPr="00920ACA" w:rsidTr="00A35B60">
        <w:trPr>
          <w:trHeight w:val="102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Cálculo de la provisión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PCE a 12 meses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 xml:space="preserve">PCE durante </w:t>
            </w:r>
            <w:r w:rsidR="00FB74FD">
              <w:rPr>
                <w:rFonts w:ascii="Calibri" w:eastAsia="Times New Roman" w:hAnsi="Calibri" w:cs="Calibri"/>
                <w:color w:val="000000"/>
                <w:lang w:val="es-PA"/>
              </w:rPr>
              <w:t>el tiempo de vida</w:t>
            </w:r>
            <w:r w:rsidR="00464851">
              <w:rPr>
                <w:rFonts w:ascii="Calibri" w:eastAsia="Times New Roman" w:hAnsi="Calibri" w:cs="Calibri"/>
                <w:color w:val="000000"/>
                <w:lang w:val="es-PA"/>
              </w:rPr>
              <w:t xml:space="preserve"> remanente</w:t>
            </w:r>
            <w:r w:rsidR="00FB74FD">
              <w:rPr>
                <w:rFonts w:ascii="Calibri" w:eastAsia="Times New Roman" w:hAnsi="Calibri" w:cs="Calibri"/>
                <w:color w:val="000000"/>
                <w:lang w:val="es-PA"/>
              </w:rPr>
              <w:t xml:space="preserve"> del activo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 xml:space="preserve">PCE durante </w:t>
            </w:r>
            <w:r w:rsidR="00FB74FD">
              <w:rPr>
                <w:rFonts w:ascii="Calibri" w:eastAsia="Times New Roman" w:hAnsi="Calibri" w:cs="Calibri"/>
                <w:color w:val="000000"/>
                <w:lang w:val="es-PA"/>
              </w:rPr>
              <w:t xml:space="preserve">el tiempo de vida </w:t>
            </w:r>
            <w:r w:rsidR="00464851">
              <w:rPr>
                <w:rFonts w:ascii="Calibri" w:eastAsia="Times New Roman" w:hAnsi="Calibri" w:cs="Calibri"/>
                <w:color w:val="000000"/>
                <w:lang w:val="es-PA"/>
              </w:rPr>
              <w:t xml:space="preserve">remanente </w:t>
            </w:r>
            <w:r w:rsidR="00FB74FD">
              <w:rPr>
                <w:rFonts w:ascii="Calibri" w:eastAsia="Times New Roman" w:hAnsi="Calibri" w:cs="Calibri"/>
                <w:color w:val="000000"/>
                <w:lang w:val="es-PA"/>
              </w:rPr>
              <w:t>del activo</w:t>
            </w:r>
          </w:p>
        </w:tc>
      </w:tr>
      <w:tr w:rsidR="004A7ADF" w:rsidRPr="00920ACA" w:rsidTr="004A7ADF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 w:rsidR="004A7ADF" w:rsidRPr="004A7ADF" w:rsidTr="00A35B60">
        <w:trPr>
          <w:trHeight w:val="6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Cálculo de intereses a la tasa efectiva sobre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Valor en libros bruto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Valor en libros bruto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ADF" w:rsidRPr="004A7ADF" w:rsidRDefault="004A7ADF" w:rsidP="00A35B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s-PA"/>
              </w:rPr>
            </w:pPr>
            <w:r w:rsidRPr="004A7ADF">
              <w:rPr>
                <w:rFonts w:ascii="Calibri" w:eastAsia="Times New Roman" w:hAnsi="Calibri" w:cs="Calibri"/>
                <w:color w:val="000000"/>
                <w:lang w:val="es-PA"/>
              </w:rPr>
              <w:t>Valor en libros neto</w:t>
            </w:r>
          </w:p>
        </w:tc>
      </w:tr>
    </w:tbl>
    <w:p w:rsidR="00C3740C" w:rsidRPr="00626130" w:rsidRDefault="00C3740C" w:rsidP="00DF05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PA"/>
        </w:rPr>
      </w:pPr>
    </w:p>
    <w:p w:rsidR="00C3740C" w:rsidRDefault="00C3740C" w:rsidP="00DF052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PA"/>
        </w:rPr>
      </w:pPr>
    </w:p>
    <w:p w:rsidR="001C2051" w:rsidRDefault="00626130" w:rsidP="00F82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lastRenderedPageBreak/>
        <w:t xml:space="preserve">Aunque la NIIF 9 no lo prescribe, </w:t>
      </w:r>
      <w:r w:rsidR="004029AE">
        <w:rPr>
          <w:rFonts w:ascii="Arial" w:hAnsi="Arial" w:cs="Arial"/>
          <w:lang w:val="es-PA"/>
        </w:rPr>
        <w:t>la fórmula generalmente aplicada a las etapas antes mencionad</w:t>
      </w:r>
      <w:r w:rsidR="00F822A3">
        <w:rPr>
          <w:rFonts w:ascii="Arial" w:hAnsi="Arial" w:cs="Arial"/>
          <w:lang w:val="es-PA"/>
        </w:rPr>
        <w:t xml:space="preserve">as para el cálculo de las PCE </w:t>
      </w:r>
      <w:r w:rsidR="004029AE">
        <w:rPr>
          <w:rFonts w:ascii="Arial" w:hAnsi="Arial" w:cs="Arial"/>
          <w:lang w:val="es-PA"/>
        </w:rPr>
        <w:t>es la siguiente:</w:t>
      </w:r>
    </w:p>
    <w:p w:rsidR="00F822A3" w:rsidRDefault="00F822A3" w:rsidP="00F82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PA"/>
        </w:rPr>
      </w:pPr>
    </w:p>
    <w:p w:rsidR="004029AE" w:rsidRDefault="004029AE" w:rsidP="003D0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PA"/>
        </w:rPr>
      </w:pPr>
    </w:p>
    <w:p w:rsidR="004029AE" w:rsidRPr="0058783F" w:rsidRDefault="004029AE" w:rsidP="003D0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PA"/>
        </w:rPr>
      </w:pPr>
      <w:r w:rsidRPr="0058783F">
        <w:rPr>
          <w:rFonts w:ascii="Arial" w:hAnsi="Arial" w:cs="Arial"/>
          <w:lang w:val="es-PA"/>
        </w:rPr>
        <w:t>PCE= EAD x PD x LGD donde</w:t>
      </w:r>
    </w:p>
    <w:p w:rsidR="004029AE" w:rsidRPr="0058783F" w:rsidRDefault="004029AE" w:rsidP="003D0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PA"/>
        </w:rPr>
      </w:pPr>
    </w:p>
    <w:p w:rsidR="00F822A3" w:rsidRDefault="004029AE" w:rsidP="00F822A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EAD= Exposició</w:t>
      </w:r>
      <w:r w:rsidRPr="004029AE">
        <w:rPr>
          <w:rFonts w:ascii="Arial" w:hAnsi="Arial" w:cs="Arial"/>
          <w:lang w:val="es-PA"/>
        </w:rPr>
        <w:t>n al momento de</w:t>
      </w:r>
      <w:r>
        <w:rPr>
          <w:rFonts w:ascii="Arial" w:hAnsi="Arial" w:cs="Arial"/>
          <w:lang w:val="es-PA"/>
        </w:rPr>
        <w:t xml:space="preserve">l </w:t>
      </w:r>
      <w:r w:rsidRPr="004029AE">
        <w:rPr>
          <w:rFonts w:ascii="Arial" w:hAnsi="Arial" w:cs="Arial"/>
          <w:lang w:val="es-PA"/>
        </w:rPr>
        <w:t>incumplimiento</w:t>
      </w:r>
      <w:r w:rsidRPr="004029AE">
        <w:rPr>
          <w:rFonts w:ascii="Arial" w:hAnsi="Arial" w:cs="Arial"/>
          <w:lang w:val="es-PA"/>
        </w:rPr>
        <w:br/>
      </w:r>
      <w:r>
        <w:rPr>
          <w:rFonts w:ascii="Arial" w:hAnsi="Arial" w:cs="Arial"/>
          <w:lang w:val="es-PA"/>
        </w:rPr>
        <w:t>PD= Probabilidad de incumplimiento</w:t>
      </w:r>
      <w:r>
        <w:rPr>
          <w:rFonts w:ascii="Arial" w:hAnsi="Arial" w:cs="Arial"/>
          <w:lang w:val="es-PA"/>
        </w:rPr>
        <w:br/>
        <w:t>LGD= P</w:t>
      </w:r>
      <w:r w:rsidR="00DE77B0">
        <w:rPr>
          <w:rFonts w:ascii="Arial" w:hAnsi="Arial" w:cs="Arial"/>
          <w:lang w:val="es-PA"/>
        </w:rPr>
        <w:t>é</w:t>
      </w:r>
      <w:r>
        <w:rPr>
          <w:rFonts w:ascii="Arial" w:hAnsi="Arial" w:cs="Arial"/>
          <w:lang w:val="es-PA"/>
        </w:rPr>
        <w:t>rdida dado el incumplimiento</w:t>
      </w:r>
    </w:p>
    <w:p w:rsidR="00F822A3" w:rsidRDefault="004029AE" w:rsidP="0054393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FB74FD">
        <w:rPr>
          <w:rFonts w:ascii="Arial" w:hAnsi="Arial" w:cs="Arial"/>
          <w:lang w:val="es-PA"/>
        </w:rPr>
        <w:t>Ahora bien, como se indicó en la Circular No.</w:t>
      </w:r>
      <w:r w:rsidR="00F822A3" w:rsidRPr="00E84C4A">
        <w:rPr>
          <w:rFonts w:ascii="Arial" w:hAnsi="Arial" w:cs="Arial"/>
          <w:lang w:val="es-PA"/>
        </w:rPr>
        <w:t>SBP-DR-</w:t>
      </w:r>
      <w:r w:rsidR="00FB74FD" w:rsidRPr="00E84C4A">
        <w:rPr>
          <w:rFonts w:ascii="Arial" w:hAnsi="Arial" w:cs="Arial"/>
          <w:lang w:val="es-PA"/>
        </w:rPr>
        <w:t>120</w:t>
      </w:r>
      <w:r w:rsidR="00F822A3" w:rsidRPr="00E84C4A">
        <w:rPr>
          <w:rFonts w:ascii="Arial" w:hAnsi="Arial" w:cs="Arial"/>
          <w:lang w:val="es-PA"/>
        </w:rPr>
        <w:t>-2020</w:t>
      </w:r>
      <w:r w:rsidR="00FB74FD" w:rsidRPr="00E84C4A">
        <w:rPr>
          <w:rFonts w:ascii="Arial" w:hAnsi="Arial" w:cs="Arial"/>
          <w:lang w:val="es-PA"/>
        </w:rPr>
        <w:t>,</w:t>
      </w:r>
      <w:r w:rsidR="00B76BDC" w:rsidRPr="00E84C4A">
        <w:rPr>
          <w:rFonts w:ascii="Arial" w:hAnsi="Arial" w:cs="Arial"/>
          <w:lang w:val="es-PA"/>
        </w:rPr>
        <w:t xml:space="preserve"> </w:t>
      </w:r>
      <w:r w:rsidR="00B76BDC">
        <w:rPr>
          <w:rFonts w:ascii="Arial" w:hAnsi="Arial" w:cs="Arial"/>
          <w:lang w:val="es-PA"/>
        </w:rPr>
        <w:t>“</w:t>
      </w:r>
      <w:r w:rsidR="00B76BDC" w:rsidRPr="00B76BDC">
        <w:rPr>
          <w:rFonts w:ascii="Arial" w:hAnsi="Arial" w:cs="Arial"/>
          <w:i/>
          <w:lang w:val="es-PA"/>
        </w:rPr>
        <w:t>las entidades deben efectuar sus estimados de pérdidas esperadas basados en la mejor información disponible acerca de eventos pasados, condiciones actuales y proyecciones de condiciones económicas futuras basado en escenarios.  En cuanto a las proyecciones éstas deberían incluir los efectos del COVID-19, de acuerdo a información disponible pública, y las medidas de apoyo tomadas por el gobierno.  Reconocemos que puede ser difícil la obtención de esta información en el momento y que debido a las condiciones actuales cambiantes se necesitarán ajustes a los modelos y escenarios en el futuro cercano</w:t>
      </w:r>
      <w:r w:rsidR="00B76BDC">
        <w:rPr>
          <w:rFonts w:ascii="Arial" w:hAnsi="Arial" w:cs="Arial"/>
          <w:lang w:val="es-PA"/>
        </w:rPr>
        <w:t>”</w:t>
      </w:r>
      <w:r w:rsidR="00B76BDC" w:rsidRPr="00826CA5">
        <w:rPr>
          <w:rFonts w:ascii="Arial" w:hAnsi="Arial" w:cs="Arial"/>
          <w:lang w:val="es-PA"/>
        </w:rPr>
        <w:t>.</w:t>
      </w:r>
    </w:p>
    <w:p w:rsidR="00F822A3" w:rsidRDefault="00B76BDC" w:rsidP="00F822A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  <w:t xml:space="preserve">El propósito de los ajustes </w:t>
      </w:r>
      <w:r w:rsidR="00174CE9">
        <w:rPr>
          <w:rFonts w:ascii="Arial" w:hAnsi="Arial" w:cs="Arial"/>
          <w:lang w:val="es-PA"/>
        </w:rPr>
        <w:t xml:space="preserve">a los modelos </w:t>
      </w:r>
      <w:r>
        <w:rPr>
          <w:rFonts w:ascii="Arial" w:hAnsi="Arial" w:cs="Arial"/>
          <w:lang w:val="es-PA"/>
        </w:rPr>
        <w:t>(</w:t>
      </w:r>
      <w:proofErr w:type="spellStart"/>
      <w:r w:rsidRPr="00B76BDC">
        <w:rPr>
          <w:rFonts w:ascii="Arial" w:hAnsi="Arial" w:cs="Arial"/>
          <w:i/>
          <w:lang w:val="es-PA"/>
        </w:rPr>
        <w:t>overlays</w:t>
      </w:r>
      <w:proofErr w:type="spellEnd"/>
      <w:r>
        <w:rPr>
          <w:rFonts w:ascii="Arial" w:hAnsi="Arial" w:cs="Arial"/>
          <w:lang w:val="es-PA"/>
        </w:rPr>
        <w:t>) es precisamente ajustar las estimaciones de PD y LGD, para incorporar los efectos del análisis prospectivo</w:t>
      </w:r>
      <w:r w:rsidR="00464851">
        <w:rPr>
          <w:rFonts w:ascii="Arial" w:hAnsi="Arial" w:cs="Arial"/>
          <w:lang w:val="es-PA"/>
        </w:rPr>
        <w:t xml:space="preserve"> (</w:t>
      </w:r>
      <w:r w:rsidR="00464851" w:rsidRPr="00464851">
        <w:rPr>
          <w:rFonts w:ascii="Arial" w:hAnsi="Arial" w:cs="Arial"/>
          <w:i/>
          <w:lang w:val="es-PA"/>
        </w:rPr>
        <w:t xml:space="preserve">forward </w:t>
      </w:r>
      <w:proofErr w:type="spellStart"/>
      <w:r w:rsidR="00464851" w:rsidRPr="00464851">
        <w:rPr>
          <w:rFonts w:ascii="Arial" w:hAnsi="Arial" w:cs="Arial"/>
          <w:i/>
          <w:lang w:val="es-PA"/>
        </w:rPr>
        <w:t>looking</w:t>
      </w:r>
      <w:proofErr w:type="spellEnd"/>
      <w:r w:rsidR="00464851">
        <w:rPr>
          <w:rFonts w:ascii="Arial" w:hAnsi="Arial" w:cs="Arial"/>
          <w:lang w:val="es-PA"/>
        </w:rPr>
        <w:t>)</w:t>
      </w:r>
      <w:r>
        <w:rPr>
          <w:rFonts w:ascii="Arial" w:hAnsi="Arial" w:cs="Arial"/>
          <w:lang w:val="es-PA"/>
        </w:rPr>
        <w:t>.</w:t>
      </w:r>
      <w:r w:rsidR="007B6467">
        <w:rPr>
          <w:rFonts w:ascii="Arial" w:hAnsi="Arial" w:cs="Arial"/>
          <w:lang w:val="es-PA"/>
        </w:rPr>
        <w:t xml:space="preserve">  Estas estimaciones deben tener en cuenta los nuevos escenarios macroeconómicos que deben realizarse con cautela en vista de las incertidumbres que prevalecen </w:t>
      </w:r>
      <w:r w:rsidR="006C4FEC">
        <w:rPr>
          <w:rFonts w:ascii="Arial" w:hAnsi="Arial" w:cs="Arial"/>
          <w:lang w:val="es-PA"/>
        </w:rPr>
        <w:t xml:space="preserve">y que se irán refinando a medida que se vayan disipando </w:t>
      </w:r>
      <w:r w:rsidR="00B459CA">
        <w:rPr>
          <w:rFonts w:ascii="Arial" w:hAnsi="Arial" w:cs="Arial"/>
          <w:lang w:val="es-PA"/>
        </w:rPr>
        <w:t>tale</w:t>
      </w:r>
      <w:r w:rsidR="006C4FEC">
        <w:rPr>
          <w:rFonts w:ascii="Arial" w:hAnsi="Arial" w:cs="Arial"/>
          <w:lang w:val="es-PA"/>
        </w:rPr>
        <w:t xml:space="preserve">s incertidumbres.  Por ahora </w:t>
      </w:r>
      <w:r w:rsidR="00464851">
        <w:rPr>
          <w:rFonts w:ascii="Arial" w:hAnsi="Arial" w:cs="Arial"/>
          <w:lang w:val="es-PA"/>
        </w:rPr>
        <w:t>sugerimos evaluar</w:t>
      </w:r>
      <w:r w:rsidR="006C4FEC">
        <w:rPr>
          <w:rFonts w:ascii="Arial" w:hAnsi="Arial" w:cs="Arial"/>
          <w:lang w:val="es-PA"/>
        </w:rPr>
        <w:t xml:space="preserve"> efectuar ajustes </w:t>
      </w:r>
      <w:r w:rsidR="00464851">
        <w:rPr>
          <w:rFonts w:ascii="Arial" w:hAnsi="Arial" w:cs="Arial"/>
          <w:lang w:val="es-PA"/>
        </w:rPr>
        <w:t>post modelo</w:t>
      </w:r>
      <w:r w:rsidR="006C4FEC">
        <w:rPr>
          <w:rFonts w:ascii="Arial" w:hAnsi="Arial" w:cs="Arial"/>
          <w:lang w:val="es-PA"/>
        </w:rPr>
        <w:t xml:space="preserve"> con vista a incorporar los escenarios macroeconómicos para el cierre del 3</w:t>
      </w:r>
      <w:r w:rsidR="00C21B66">
        <w:rPr>
          <w:rFonts w:ascii="Arial" w:hAnsi="Arial" w:cs="Arial"/>
          <w:lang w:val="es-PA"/>
        </w:rPr>
        <w:t>1</w:t>
      </w:r>
      <w:r w:rsidR="006C4FEC">
        <w:rPr>
          <w:rFonts w:ascii="Arial" w:hAnsi="Arial" w:cs="Arial"/>
          <w:lang w:val="es-PA"/>
        </w:rPr>
        <w:t xml:space="preserve"> de </w:t>
      </w:r>
      <w:r w:rsidR="00C21B66">
        <w:rPr>
          <w:rFonts w:ascii="Arial" w:hAnsi="Arial" w:cs="Arial"/>
          <w:lang w:val="es-PA"/>
        </w:rPr>
        <w:t xml:space="preserve">octubre </w:t>
      </w:r>
      <w:r w:rsidR="006C4FEC">
        <w:rPr>
          <w:rFonts w:ascii="Arial" w:hAnsi="Arial" w:cs="Arial"/>
          <w:lang w:val="es-PA"/>
        </w:rPr>
        <w:t>de 2020, ajustable durante los meses posteriores</w:t>
      </w:r>
      <w:r w:rsidR="00087B63">
        <w:rPr>
          <w:rFonts w:ascii="Arial" w:hAnsi="Arial" w:cs="Arial"/>
          <w:lang w:val="es-PA"/>
        </w:rPr>
        <w:t xml:space="preserve"> a medida que la nueva información </w:t>
      </w:r>
      <w:r w:rsidR="00A50A26">
        <w:rPr>
          <w:rFonts w:ascii="Arial" w:hAnsi="Arial" w:cs="Arial"/>
          <w:lang w:val="es-PA"/>
        </w:rPr>
        <w:t>razonable y sustentable se vuelva disponible</w:t>
      </w:r>
      <w:r w:rsidR="006C4FEC">
        <w:rPr>
          <w:rFonts w:ascii="Arial" w:hAnsi="Arial" w:cs="Arial"/>
          <w:lang w:val="es-PA"/>
        </w:rPr>
        <w:t>.</w:t>
      </w:r>
      <w:r w:rsidR="001357EF">
        <w:rPr>
          <w:rFonts w:ascii="Arial" w:hAnsi="Arial" w:cs="Arial"/>
          <w:lang w:val="es-PA"/>
        </w:rPr>
        <w:t xml:space="preserve">  </w:t>
      </w:r>
      <w:r w:rsidR="00464851">
        <w:rPr>
          <w:rFonts w:ascii="Arial" w:hAnsi="Arial" w:cs="Arial"/>
          <w:lang w:val="es-PA"/>
        </w:rPr>
        <w:t>O bien,</w:t>
      </w:r>
      <w:r w:rsidR="006C4FEC">
        <w:rPr>
          <w:rFonts w:ascii="Arial" w:hAnsi="Arial" w:cs="Arial"/>
          <w:lang w:val="es-PA"/>
        </w:rPr>
        <w:t xml:space="preserve"> la recalibración de</w:t>
      </w:r>
      <w:r w:rsidR="00464851">
        <w:rPr>
          <w:rFonts w:ascii="Arial" w:hAnsi="Arial" w:cs="Arial"/>
          <w:lang w:val="es-PA"/>
        </w:rPr>
        <w:t xml:space="preserve"> los parámetros de los</w:t>
      </w:r>
      <w:r w:rsidR="006C4FEC">
        <w:rPr>
          <w:rFonts w:ascii="Arial" w:hAnsi="Arial" w:cs="Arial"/>
          <w:lang w:val="es-PA"/>
        </w:rPr>
        <w:t xml:space="preserve"> modelos</w:t>
      </w:r>
      <w:r w:rsidR="00464851">
        <w:rPr>
          <w:rFonts w:ascii="Arial" w:hAnsi="Arial" w:cs="Arial"/>
          <w:lang w:val="es-PA"/>
        </w:rPr>
        <w:t xml:space="preserve"> siempre y cuando el Banco cuente con todos los elementos cualitativos y cuantitativos por efecto</w:t>
      </w:r>
      <w:r w:rsidR="001357EF">
        <w:rPr>
          <w:rFonts w:ascii="Arial" w:hAnsi="Arial" w:cs="Arial"/>
          <w:lang w:val="es-PA"/>
        </w:rPr>
        <w:t xml:space="preserve"> </w:t>
      </w:r>
      <w:r w:rsidR="00F822A3" w:rsidRPr="00E84C4A">
        <w:rPr>
          <w:rFonts w:ascii="Arial" w:hAnsi="Arial" w:cs="Arial"/>
          <w:lang w:val="es-PA"/>
        </w:rPr>
        <w:t xml:space="preserve">de la </w:t>
      </w:r>
      <w:r w:rsidR="00464851" w:rsidRPr="00E84C4A">
        <w:rPr>
          <w:rFonts w:ascii="Arial" w:hAnsi="Arial" w:cs="Arial"/>
          <w:lang w:val="es-PA"/>
        </w:rPr>
        <w:t>COVID</w:t>
      </w:r>
      <w:r w:rsidR="00464851">
        <w:rPr>
          <w:rFonts w:ascii="Arial" w:hAnsi="Arial" w:cs="Arial"/>
          <w:lang w:val="es-PA"/>
        </w:rPr>
        <w:t>-19</w:t>
      </w:r>
      <w:r w:rsidR="001357EF">
        <w:rPr>
          <w:rFonts w:ascii="Arial" w:hAnsi="Arial" w:cs="Arial"/>
          <w:lang w:val="es-PA"/>
        </w:rPr>
        <w:t>,</w:t>
      </w:r>
      <w:r w:rsidR="00464851">
        <w:rPr>
          <w:rFonts w:ascii="Arial" w:hAnsi="Arial" w:cs="Arial"/>
          <w:lang w:val="es-PA"/>
        </w:rPr>
        <w:t xml:space="preserve"> o que existan elementos de juicio</w:t>
      </w:r>
      <w:r w:rsidR="006C4FEC">
        <w:rPr>
          <w:rFonts w:ascii="Arial" w:hAnsi="Arial" w:cs="Arial"/>
          <w:lang w:val="es-PA"/>
        </w:rPr>
        <w:t xml:space="preserve"> que </w:t>
      </w:r>
      <w:r w:rsidR="00464851">
        <w:rPr>
          <w:rFonts w:ascii="Arial" w:hAnsi="Arial" w:cs="Arial"/>
          <w:lang w:val="es-PA"/>
        </w:rPr>
        <w:t>indiquen la necesidad de</w:t>
      </w:r>
      <w:r w:rsidR="006C4FEC">
        <w:rPr>
          <w:rFonts w:ascii="Arial" w:hAnsi="Arial" w:cs="Arial"/>
          <w:lang w:val="es-PA"/>
        </w:rPr>
        <w:t xml:space="preserve"> rectificar deficiencias encontradas antes de la crisis.</w:t>
      </w:r>
    </w:p>
    <w:p w:rsidR="00F822A3" w:rsidRDefault="006C4FEC" w:rsidP="00F822A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A50A26">
        <w:rPr>
          <w:rFonts w:ascii="Arial" w:hAnsi="Arial" w:cs="Arial"/>
          <w:lang w:val="es-PA"/>
        </w:rPr>
        <w:t>Cada banco es responsable de realizar sus estimaciones usando las variables</w:t>
      </w:r>
      <w:r w:rsidR="00986CCF">
        <w:rPr>
          <w:rFonts w:ascii="Arial" w:hAnsi="Arial" w:cs="Arial"/>
          <w:lang w:val="es-PA"/>
        </w:rPr>
        <w:t xml:space="preserve"> m</w:t>
      </w:r>
      <w:r w:rsidR="00A50A26">
        <w:rPr>
          <w:rFonts w:ascii="Arial" w:hAnsi="Arial" w:cs="Arial"/>
          <w:lang w:val="es-PA"/>
        </w:rPr>
        <w:t xml:space="preserve">acroeconómicas que consideren apropiadas, sin embargo, como referencia </w:t>
      </w:r>
      <w:r w:rsidR="003809A9">
        <w:rPr>
          <w:rFonts w:ascii="Arial" w:hAnsi="Arial" w:cs="Arial"/>
          <w:lang w:val="es-PA"/>
        </w:rPr>
        <w:t xml:space="preserve">la </w:t>
      </w:r>
      <w:r w:rsidR="00986CCF">
        <w:rPr>
          <w:rFonts w:ascii="Arial" w:hAnsi="Arial" w:cs="Arial"/>
          <w:lang w:val="es-PA"/>
        </w:rPr>
        <w:t>S</w:t>
      </w:r>
      <w:r w:rsidR="003809A9">
        <w:rPr>
          <w:rFonts w:ascii="Arial" w:hAnsi="Arial" w:cs="Arial"/>
          <w:lang w:val="es-PA"/>
        </w:rPr>
        <w:t xml:space="preserve">uperintendencia de Bancos de Panamá está utilizando para sus proyecciones una tasa de decrecimiento del PIB </w:t>
      </w:r>
      <w:r w:rsidR="00B123F4">
        <w:rPr>
          <w:rFonts w:ascii="Arial" w:hAnsi="Arial" w:cs="Arial"/>
          <w:lang w:val="es-PA"/>
        </w:rPr>
        <w:t xml:space="preserve">de 10.7% </w:t>
      </w:r>
      <w:r w:rsidR="003809A9">
        <w:rPr>
          <w:rFonts w:ascii="Arial" w:hAnsi="Arial" w:cs="Arial"/>
          <w:lang w:val="es-PA"/>
        </w:rPr>
        <w:t xml:space="preserve">y una tasa de desempleo al cierre del 2020 de </w:t>
      </w:r>
      <w:r w:rsidR="00E84C4A">
        <w:rPr>
          <w:rFonts w:ascii="Arial" w:hAnsi="Arial" w:cs="Arial"/>
          <w:lang w:val="es-PA"/>
        </w:rPr>
        <w:t>18%</w:t>
      </w:r>
      <w:r w:rsidR="003809A9">
        <w:rPr>
          <w:rFonts w:ascii="Arial" w:hAnsi="Arial" w:cs="Arial"/>
          <w:lang w:val="es-PA"/>
        </w:rPr>
        <w:t>, aunque esta última según otras fuentes puede estar muy baja.</w:t>
      </w:r>
    </w:p>
    <w:p w:rsidR="00535046" w:rsidRDefault="00535046" w:rsidP="00F822A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s-PA"/>
        </w:rPr>
      </w:pPr>
    </w:p>
    <w:p w:rsidR="00464851" w:rsidRDefault="00464851" w:rsidP="00F822A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Un tema a tener en cuenta es el valor de las garantías ya que sabemos que como consecuencia del COVID-19 se han presentado disminuciones en el valor de la finca raíz y como consecuencia, los valor</w:t>
      </w:r>
      <w:r w:rsidR="00CA0BD5">
        <w:rPr>
          <w:rFonts w:ascii="Arial" w:hAnsi="Arial" w:cs="Arial"/>
          <w:lang w:val="es-PA"/>
        </w:rPr>
        <w:t>es</w:t>
      </w:r>
      <w:r>
        <w:rPr>
          <w:rFonts w:ascii="Arial" w:hAnsi="Arial" w:cs="Arial"/>
          <w:lang w:val="es-PA"/>
        </w:rPr>
        <w:t xml:space="preserve"> de LGD pueden haberse incrementado y por lo tanto también lo haría el valor de las PCE si el valor de la garantía no alcanza a cubrir el saldo del préstamo.</w:t>
      </w:r>
    </w:p>
    <w:p w:rsidR="00535046" w:rsidRDefault="00535046">
      <w:pPr>
        <w:rPr>
          <w:rFonts w:ascii="Arial" w:hAnsi="Arial" w:cs="Arial"/>
          <w:lang w:val="es-PA"/>
        </w:rPr>
      </w:pPr>
    </w:p>
    <w:p w:rsidR="00E1523C" w:rsidRDefault="00E1523C">
      <w:pPr>
        <w:rPr>
          <w:rFonts w:ascii="Arial" w:hAnsi="Arial" w:cs="Arial"/>
          <w:lang w:val="es-PA"/>
        </w:rPr>
      </w:pPr>
    </w:p>
    <w:p w:rsidR="00E1523C" w:rsidRDefault="00E1523C">
      <w:pPr>
        <w:rPr>
          <w:rFonts w:ascii="Arial" w:hAnsi="Arial" w:cs="Arial"/>
          <w:lang w:val="es-PA"/>
        </w:rPr>
      </w:pPr>
    </w:p>
    <w:p w:rsidR="00543937" w:rsidRPr="00543937" w:rsidRDefault="002F2451" w:rsidP="00543937">
      <w:pPr>
        <w:pStyle w:val="Prrafodelista"/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lang w:val="es-PA"/>
        </w:rPr>
      </w:pPr>
      <w:r w:rsidRPr="00535046">
        <w:rPr>
          <w:rFonts w:ascii="Arial" w:hAnsi="Arial" w:cs="Arial"/>
          <w:b/>
          <w:lang w:val="es-PA"/>
        </w:rPr>
        <w:lastRenderedPageBreak/>
        <w:t>Refutación de la norma</w:t>
      </w:r>
    </w:p>
    <w:p w:rsidR="00543937" w:rsidRDefault="002F2451" w:rsidP="00543937">
      <w:pPr>
        <w:pStyle w:val="Prrafodelista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543937">
        <w:rPr>
          <w:rFonts w:ascii="Arial" w:hAnsi="Arial" w:cs="Arial"/>
          <w:lang w:val="es-PA"/>
        </w:rPr>
        <w:t xml:space="preserve">Como se indicó anteriormente, </w:t>
      </w:r>
      <w:r w:rsidR="00A976D0">
        <w:rPr>
          <w:rFonts w:ascii="Arial" w:hAnsi="Arial" w:cs="Arial"/>
          <w:lang w:val="es-PA"/>
        </w:rPr>
        <w:t>la norma contable NIIF 9 permite refutar la presunción de la norma de los 30 días de mora para la Etapa 2 y 90 días de incumplimiento para la Etapa 3. En caso que se refute la presunción, se debe definir ISRC</w:t>
      </w:r>
      <w:r w:rsidR="00A976D0" w:rsidRPr="0074140A">
        <w:rPr>
          <w:rFonts w:ascii="Arial" w:hAnsi="Arial" w:cs="Arial"/>
          <w:lang w:val="es-PA"/>
        </w:rPr>
        <w:t xml:space="preserve"> </w:t>
      </w:r>
      <w:r w:rsidR="00A976D0">
        <w:rPr>
          <w:rFonts w:ascii="Arial" w:hAnsi="Arial" w:cs="Arial"/>
          <w:lang w:val="es-PA"/>
        </w:rPr>
        <w:t xml:space="preserve">e incumplimiento considerando los </w:t>
      </w:r>
      <w:r w:rsidR="00A976D0" w:rsidRPr="0074140A">
        <w:rPr>
          <w:rFonts w:ascii="Arial" w:hAnsi="Arial" w:cs="Arial"/>
          <w:lang w:val="es-PA"/>
        </w:rPr>
        <w:t>factores cualitativos y cuantitativos</w:t>
      </w:r>
      <w:r w:rsidR="00A976D0">
        <w:rPr>
          <w:rFonts w:ascii="Arial" w:hAnsi="Arial" w:cs="Arial"/>
          <w:lang w:val="es-PA"/>
        </w:rPr>
        <w:t xml:space="preserve"> que mejor expliquen el riesgo de crédito en alineación con las tipologías de alivios financieros.</w:t>
      </w:r>
    </w:p>
    <w:p w:rsidR="00543937" w:rsidRDefault="00535046" w:rsidP="00543937">
      <w:pPr>
        <w:pStyle w:val="Prrafodelista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 w:rsidR="00A976D0">
        <w:rPr>
          <w:rFonts w:ascii="Arial" w:hAnsi="Arial" w:cs="Arial"/>
          <w:lang w:val="es-PA"/>
        </w:rPr>
        <w:t>En este sentido, para poder refutar</w:t>
      </w:r>
      <w:r>
        <w:rPr>
          <w:rFonts w:ascii="Arial" w:hAnsi="Arial" w:cs="Arial"/>
          <w:lang w:val="es-PA"/>
        </w:rPr>
        <w:t xml:space="preserve"> </w:t>
      </w:r>
      <w:r w:rsidR="00A976D0">
        <w:rPr>
          <w:rFonts w:ascii="Arial" w:hAnsi="Arial" w:cs="Arial"/>
          <w:lang w:val="es-PA"/>
        </w:rPr>
        <w:t>las presunciones antes mencionadas</w:t>
      </w:r>
      <w:r w:rsidR="00DF22AE">
        <w:rPr>
          <w:rFonts w:ascii="Arial" w:hAnsi="Arial" w:cs="Arial"/>
          <w:lang w:val="es-PA"/>
        </w:rPr>
        <w:t xml:space="preserve"> </w:t>
      </w:r>
      <w:r>
        <w:rPr>
          <w:rFonts w:ascii="Arial" w:hAnsi="Arial" w:cs="Arial"/>
          <w:lang w:val="es-PA"/>
        </w:rPr>
        <w:t>debe hacerse con documentación robusta, razonable y soportable. Para tal propósito los bancos deberán coordinar con sus auditores externos la</w:t>
      </w:r>
      <w:r w:rsidR="00DF22AE">
        <w:rPr>
          <w:rFonts w:ascii="Arial" w:hAnsi="Arial" w:cs="Arial"/>
          <w:lang w:val="es-PA"/>
        </w:rPr>
        <w:t xml:space="preserve"> </w:t>
      </w:r>
      <w:r>
        <w:rPr>
          <w:rFonts w:ascii="Arial" w:hAnsi="Arial" w:cs="Arial"/>
          <w:lang w:val="es-PA"/>
        </w:rPr>
        <w:t xml:space="preserve">documentación </w:t>
      </w:r>
      <w:r w:rsidR="00DF22AE">
        <w:rPr>
          <w:rFonts w:ascii="Arial" w:hAnsi="Arial" w:cs="Arial"/>
          <w:lang w:val="es-PA"/>
        </w:rPr>
        <w:t>que deberán suministrar para satisfacer los procedimientos de auditoría.</w:t>
      </w:r>
    </w:p>
    <w:p w:rsidR="0091742D" w:rsidRPr="002F2451" w:rsidRDefault="00DF22AE" w:rsidP="00543937">
      <w:pPr>
        <w:pStyle w:val="Prrafodelista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br/>
      </w:r>
      <w:r>
        <w:rPr>
          <w:rFonts w:ascii="Arial" w:hAnsi="Arial" w:cs="Arial"/>
          <w:lang w:val="es-PA"/>
        </w:rPr>
        <w:br/>
      </w:r>
      <w:r w:rsidR="002F2451" w:rsidRPr="002F2451">
        <w:rPr>
          <w:rFonts w:ascii="Arial" w:hAnsi="Arial" w:cs="Arial"/>
          <w:lang w:val="es-PA"/>
        </w:rPr>
        <w:br/>
      </w:r>
      <w:r w:rsidR="002F2451" w:rsidRPr="002F2451">
        <w:rPr>
          <w:rFonts w:ascii="Arial" w:hAnsi="Arial" w:cs="Arial"/>
          <w:lang w:val="es-PA"/>
        </w:rPr>
        <w:br/>
      </w:r>
      <w:r w:rsidR="002F2451" w:rsidRPr="002F2451">
        <w:rPr>
          <w:rFonts w:ascii="Arial" w:hAnsi="Arial" w:cs="Arial"/>
          <w:lang w:val="es-PA"/>
        </w:rPr>
        <w:br/>
      </w:r>
    </w:p>
    <w:p w:rsidR="002F2451" w:rsidRPr="002F2451" w:rsidRDefault="002F2451" w:rsidP="002F2451">
      <w:pPr>
        <w:pStyle w:val="Prrafodelista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b/>
          <w:bCs/>
          <w:sz w:val="18"/>
          <w:szCs w:val="18"/>
          <w:lang w:val="es-P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s-PA"/>
        </w:rPr>
        <w:t xml:space="preserve"> </w:t>
      </w:r>
    </w:p>
    <w:p w:rsidR="0091742D" w:rsidRPr="004029AE" w:rsidRDefault="0091742D" w:rsidP="0091742D">
      <w:pPr>
        <w:pStyle w:val="Prrafodelista"/>
        <w:spacing w:after="0" w:line="276" w:lineRule="auto"/>
        <w:ind w:left="270"/>
        <w:rPr>
          <w:rFonts w:ascii="Arial" w:hAnsi="Arial" w:cs="Arial"/>
          <w:lang w:val="es-PA"/>
        </w:rPr>
      </w:pPr>
    </w:p>
    <w:p w:rsidR="0091742D" w:rsidRPr="004029AE" w:rsidRDefault="0091742D" w:rsidP="0091742D">
      <w:pPr>
        <w:spacing w:after="0" w:line="276" w:lineRule="auto"/>
        <w:rPr>
          <w:rFonts w:ascii="Arial" w:hAnsi="Arial" w:cs="Arial"/>
          <w:lang w:val="es-PA"/>
        </w:rPr>
      </w:pPr>
    </w:p>
    <w:p w:rsidR="0091742D" w:rsidRPr="004029AE" w:rsidRDefault="0091742D" w:rsidP="0091742D">
      <w:pPr>
        <w:spacing w:after="0" w:line="276" w:lineRule="auto"/>
        <w:rPr>
          <w:rFonts w:ascii="Arial" w:hAnsi="Arial" w:cs="Arial"/>
          <w:lang w:val="es-PA"/>
        </w:rPr>
      </w:pPr>
    </w:p>
    <w:sectPr w:rsidR="0091742D" w:rsidRPr="004029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B9" w:rsidRDefault="007932B9" w:rsidP="000729AE">
      <w:pPr>
        <w:spacing w:after="0" w:line="240" w:lineRule="auto"/>
      </w:pPr>
      <w:r>
        <w:separator/>
      </w:r>
    </w:p>
  </w:endnote>
  <w:endnote w:type="continuationSeparator" w:id="0">
    <w:p w:rsidR="007932B9" w:rsidRDefault="007932B9" w:rsidP="0007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AE" w:rsidRPr="00255355" w:rsidRDefault="000729AE">
    <w:pPr>
      <w:pStyle w:val="Piedepgina"/>
      <w:jc w:val="center"/>
      <w:rPr>
        <w:caps/>
      </w:rPr>
    </w:pPr>
    <w:r w:rsidRPr="00255355">
      <w:rPr>
        <w:caps/>
      </w:rPr>
      <w:fldChar w:fldCharType="begin"/>
    </w:r>
    <w:r w:rsidRPr="00255355">
      <w:rPr>
        <w:caps/>
      </w:rPr>
      <w:instrText>PAGE   \* MERGEFORMAT</w:instrText>
    </w:r>
    <w:r w:rsidRPr="00255355">
      <w:rPr>
        <w:caps/>
      </w:rPr>
      <w:fldChar w:fldCharType="separate"/>
    </w:r>
    <w:r w:rsidR="00920ACA" w:rsidRPr="00920ACA">
      <w:rPr>
        <w:caps/>
        <w:noProof/>
        <w:lang w:val="es-ES"/>
      </w:rPr>
      <w:t>2</w:t>
    </w:r>
    <w:r w:rsidRPr="00255355">
      <w:rPr>
        <w:caps/>
      </w:rPr>
      <w:fldChar w:fldCharType="end"/>
    </w:r>
  </w:p>
  <w:p w:rsidR="000729AE" w:rsidRDefault="000729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B9" w:rsidRDefault="007932B9" w:rsidP="000729AE">
      <w:pPr>
        <w:spacing w:after="0" w:line="240" w:lineRule="auto"/>
      </w:pPr>
      <w:r>
        <w:separator/>
      </w:r>
    </w:p>
  </w:footnote>
  <w:footnote w:type="continuationSeparator" w:id="0">
    <w:p w:rsidR="007932B9" w:rsidRDefault="007932B9" w:rsidP="0007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520B"/>
    <w:multiLevelType w:val="hybridMultilevel"/>
    <w:tmpl w:val="DA8CA98E"/>
    <w:lvl w:ilvl="0" w:tplc="4468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40AD"/>
    <w:multiLevelType w:val="hybridMultilevel"/>
    <w:tmpl w:val="6284DDAC"/>
    <w:lvl w:ilvl="0" w:tplc="A3A0C9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2D"/>
    <w:rsid w:val="00044668"/>
    <w:rsid w:val="000551F1"/>
    <w:rsid w:val="000729AE"/>
    <w:rsid w:val="00087B63"/>
    <w:rsid w:val="000A20F5"/>
    <w:rsid w:val="000C4B5A"/>
    <w:rsid w:val="001357EF"/>
    <w:rsid w:val="00174CE9"/>
    <w:rsid w:val="00192B4E"/>
    <w:rsid w:val="001C2051"/>
    <w:rsid w:val="001E5D54"/>
    <w:rsid w:val="00206CC8"/>
    <w:rsid w:val="002540D4"/>
    <w:rsid w:val="00255355"/>
    <w:rsid w:val="002B25DE"/>
    <w:rsid w:val="002F2451"/>
    <w:rsid w:val="003112FE"/>
    <w:rsid w:val="003809A9"/>
    <w:rsid w:val="00392E46"/>
    <w:rsid w:val="003D02E3"/>
    <w:rsid w:val="004029AE"/>
    <w:rsid w:val="00464851"/>
    <w:rsid w:val="00483858"/>
    <w:rsid w:val="004A7ADF"/>
    <w:rsid w:val="0053050F"/>
    <w:rsid w:val="00535046"/>
    <w:rsid w:val="00543937"/>
    <w:rsid w:val="00552B6F"/>
    <w:rsid w:val="00553B2F"/>
    <w:rsid w:val="0058783F"/>
    <w:rsid w:val="005D6669"/>
    <w:rsid w:val="005F1DD9"/>
    <w:rsid w:val="00626130"/>
    <w:rsid w:val="00635C42"/>
    <w:rsid w:val="006365F8"/>
    <w:rsid w:val="00641B08"/>
    <w:rsid w:val="00644A2E"/>
    <w:rsid w:val="00682C02"/>
    <w:rsid w:val="006857F7"/>
    <w:rsid w:val="006C4FEC"/>
    <w:rsid w:val="006F419C"/>
    <w:rsid w:val="00700ED1"/>
    <w:rsid w:val="00724545"/>
    <w:rsid w:val="0073409F"/>
    <w:rsid w:val="0074140A"/>
    <w:rsid w:val="007932B9"/>
    <w:rsid w:val="007B6467"/>
    <w:rsid w:val="007C240C"/>
    <w:rsid w:val="007E20CC"/>
    <w:rsid w:val="00814D1E"/>
    <w:rsid w:val="00837122"/>
    <w:rsid w:val="00894898"/>
    <w:rsid w:val="0091742D"/>
    <w:rsid w:val="00920ACA"/>
    <w:rsid w:val="00957CC7"/>
    <w:rsid w:val="00986CCF"/>
    <w:rsid w:val="009E2DBA"/>
    <w:rsid w:val="009F60F8"/>
    <w:rsid w:val="00A35B60"/>
    <w:rsid w:val="00A50A26"/>
    <w:rsid w:val="00A570B9"/>
    <w:rsid w:val="00A84FA7"/>
    <w:rsid w:val="00A976D0"/>
    <w:rsid w:val="00B05747"/>
    <w:rsid w:val="00B123F4"/>
    <w:rsid w:val="00B164B7"/>
    <w:rsid w:val="00B459CA"/>
    <w:rsid w:val="00B76BDC"/>
    <w:rsid w:val="00C04F60"/>
    <w:rsid w:val="00C21B66"/>
    <w:rsid w:val="00C3740C"/>
    <w:rsid w:val="00C51905"/>
    <w:rsid w:val="00C55307"/>
    <w:rsid w:val="00C957E8"/>
    <w:rsid w:val="00CA0BD5"/>
    <w:rsid w:val="00CF6BEB"/>
    <w:rsid w:val="00DE77B0"/>
    <w:rsid w:val="00DF0520"/>
    <w:rsid w:val="00DF22AE"/>
    <w:rsid w:val="00E1523C"/>
    <w:rsid w:val="00E3645C"/>
    <w:rsid w:val="00E84C4A"/>
    <w:rsid w:val="00E96214"/>
    <w:rsid w:val="00EA1E04"/>
    <w:rsid w:val="00EE6123"/>
    <w:rsid w:val="00F03CFF"/>
    <w:rsid w:val="00F05D97"/>
    <w:rsid w:val="00F7699F"/>
    <w:rsid w:val="00F822A3"/>
    <w:rsid w:val="00FA2EF0"/>
    <w:rsid w:val="00F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94892-A669-4A14-8B09-FF49E39C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4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72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9AE"/>
  </w:style>
  <w:style w:type="paragraph" w:styleId="Piedepgina">
    <w:name w:val="footer"/>
    <w:basedOn w:val="Normal"/>
    <w:link w:val="PiedepginaCar"/>
    <w:uiPriority w:val="99"/>
    <w:unhideWhenUsed/>
    <w:rsid w:val="00072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2ED7-57B2-4D1A-B50C-D3506A22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2053</Words>
  <Characters>11297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Hempe</dc:creator>
  <cp:keywords/>
  <dc:description/>
  <cp:lastModifiedBy>BRANDAO, VIVIANA</cp:lastModifiedBy>
  <cp:revision>13</cp:revision>
  <cp:lastPrinted>2020-09-23T19:45:00Z</cp:lastPrinted>
  <dcterms:created xsi:type="dcterms:W3CDTF">2020-09-22T16:30:00Z</dcterms:created>
  <dcterms:modified xsi:type="dcterms:W3CDTF">2020-09-23T19:53:00Z</dcterms:modified>
</cp:coreProperties>
</file>